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2CC0" w14:textId="77777777" w:rsidR="00F44C9B" w:rsidRPr="00296541" w:rsidRDefault="00F44C9B" w:rsidP="00F44C9B">
      <w:pPr>
        <w:rPr>
          <w:rFonts w:asciiTheme="minorHAnsi" w:hAnsiTheme="minorHAnsi" w:cstheme="minorHAnsi"/>
          <w:b/>
          <w:sz w:val="36"/>
          <w:szCs w:val="36"/>
        </w:rPr>
      </w:pPr>
      <w:r w:rsidRPr="00296541">
        <w:rPr>
          <w:rFonts w:asciiTheme="minorHAnsi" w:hAnsiTheme="minorHAnsi" w:cstheme="minorHAnsi"/>
          <w:b/>
          <w:sz w:val="36"/>
          <w:szCs w:val="36"/>
        </w:rPr>
        <w:t>Laboratory Annual Notice</w:t>
      </w:r>
    </w:p>
    <w:p w14:paraId="0557FCCC" w14:textId="77777777" w:rsidR="00F44C9B" w:rsidRPr="00296541" w:rsidRDefault="00F44C9B" w:rsidP="00F44C9B">
      <w:pPr>
        <w:rPr>
          <w:rFonts w:asciiTheme="minorHAnsi" w:hAnsiTheme="minorHAnsi" w:cstheme="minorHAnsi"/>
        </w:rPr>
      </w:pPr>
    </w:p>
    <w:p w14:paraId="306D797F" w14:textId="560FDE5F" w:rsidR="00F44C9B" w:rsidRPr="00296541" w:rsidRDefault="00F44C9B" w:rsidP="00F44C9B">
      <w:pPr>
        <w:rPr>
          <w:rFonts w:asciiTheme="minorHAnsi" w:hAnsiTheme="minorHAnsi" w:cstheme="minorHAnsi"/>
        </w:rPr>
      </w:pPr>
      <w:r w:rsidRPr="00296541">
        <w:rPr>
          <w:rFonts w:asciiTheme="minorHAnsi" w:hAnsiTheme="minorHAnsi" w:cstheme="minorHAnsi"/>
        </w:rPr>
        <w:t>Date:    January 1, 202</w:t>
      </w:r>
      <w:r w:rsidR="00834CEC">
        <w:rPr>
          <w:rFonts w:asciiTheme="minorHAnsi" w:hAnsiTheme="minorHAnsi" w:cstheme="minorHAnsi"/>
        </w:rPr>
        <w:t>4</w:t>
      </w:r>
    </w:p>
    <w:p w14:paraId="10EC9CA9" w14:textId="77777777" w:rsidR="00F44C9B" w:rsidRPr="00296541" w:rsidRDefault="00F44C9B" w:rsidP="00F44C9B">
      <w:pPr>
        <w:rPr>
          <w:rFonts w:asciiTheme="minorHAnsi" w:hAnsiTheme="minorHAnsi" w:cstheme="minorHAnsi"/>
        </w:rPr>
      </w:pPr>
    </w:p>
    <w:p w14:paraId="72DADC5E" w14:textId="1B89CF91" w:rsidR="00F44C9B" w:rsidRPr="00296541" w:rsidRDefault="00F44C9B" w:rsidP="00296541">
      <w:pPr>
        <w:ind w:left="810" w:hanging="810"/>
        <w:rPr>
          <w:rFonts w:asciiTheme="minorHAnsi" w:hAnsiTheme="minorHAnsi" w:cstheme="minorHAnsi"/>
        </w:rPr>
      </w:pPr>
      <w:r w:rsidRPr="00296541">
        <w:rPr>
          <w:rFonts w:asciiTheme="minorHAnsi" w:hAnsiTheme="minorHAnsi" w:cstheme="minorHAnsi"/>
        </w:rPr>
        <w:t xml:space="preserve">To:         Gundersen Palmer Lutheran Hospital and Clinics Medical Staff; Gundersen Palmer Lutheran Hospital and Clinics Associate Staff </w:t>
      </w:r>
    </w:p>
    <w:p w14:paraId="79310E0D" w14:textId="77777777" w:rsidR="00F44C9B" w:rsidRPr="00296541" w:rsidRDefault="00F44C9B" w:rsidP="00F44C9B">
      <w:pPr>
        <w:rPr>
          <w:rFonts w:asciiTheme="minorHAnsi" w:hAnsiTheme="minorHAnsi" w:cstheme="minorHAnsi"/>
        </w:rPr>
      </w:pPr>
    </w:p>
    <w:p w14:paraId="0A446BF1" w14:textId="12D52011"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From:    Christopher Cogbill, MD, Medical Director of Laboratories; Keith Frye, Administrative Director, </w:t>
      </w:r>
    </w:p>
    <w:p w14:paraId="5144FD2E" w14:textId="46501BB9" w:rsidR="00F44C9B" w:rsidRPr="00296541" w:rsidRDefault="00F44C9B" w:rsidP="00296541">
      <w:pPr>
        <w:ind w:left="810"/>
        <w:rPr>
          <w:rFonts w:asciiTheme="minorHAnsi" w:hAnsiTheme="minorHAnsi" w:cstheme="minorHAnsi"/>
        </w:rPr>
      </w:pPr>
      <w:r w:rsidRPr="00296541">
        <w:rPr>
          <w:rFonts w:asciiTheme="minorHAnsi" w:hAnsiTheme="minorHAnsi" w:cstheme="minorHAnsi"/>
        </w:rPr>
        <w:t>Laboratory; Betty Tilleraas, Gundersen Palmer Lutheran Hospital and Clinics Laboratory Manager</w:t>
      </w:r>
    </w:p>
    <w:p w14:paraId="212AFDDE" w14:textId="77777777" w:rsidR="00F44C9B" w:rsidRPr="00296541" w:rsidRDefault="00F44C9B" w:rsidP="00F44C9B">
      <w:pPr>
        <w:rPr>
          <w:rFonts w:asciiTheme="minorHAnsi" w:hAnsiTheme="minorHAnsi" w:cstheme="minorHAnsi"/>
        </w:rPr>
      </w:pPr>
    </w:p>
    <w:p w14:paraId="5EB1B170" w14:textId="7DEDA6F5" w:rsidR="00F44C9B" w:rsidRPr="00296541" w:rsidRDefault="00F44C9B" w:rsidP="00296541">
      <w:pPr>
        <w:ind w:left="810" w:hanging="810"/>
        <w:rPr>
          <w:rFonts w:asciiTheme="minorHAnsi" w:hAnsiTheme="minorHAnsi" w:cstheme="minorHAnsi"/>
          <w:strike/>
        </w:rPr>
      </w:pPr>
      <w:r w:rsidRPr="00296541">
        <w:rPr>
          <w:rFonts w:asciiTheme="minorHAnsi" w:hAnsiTheme="minorHAnsi" w:cstheme="minorHAnsi"/>
        </w:rPr>
        <w:t>cc:          Kari Adank, Vice President, Compliance; Taryn Zubich, Director of Compliance (GLMC &amp; MN CAH); Peter Weidenheim, Director of Compliance (WI &amp; IA CAH)</w:t>
      </w:r>
    </w:p>
    <w:p w14:paraId="580D1B12" w14:textId="77777777" w:rsidR="00F44C9B" w:rsidRPr="00296541" w:rsidRDefault="00F44C9B" w:rsidP="00F44C9B">
      <w:pPr>
        <w:rPr>
          <w:rFonts w:asciiTheme="minorHAnsi" w:hAnsiTheme="minorHAnsi" w:cstheme="minorHAnsi"/>
        </w:rPr>
      </w:pPr>
    </w:p>
    <w:p w14:paraId="7785CD25" w14:textId="0959E0AE" w:rsidR="00F44C9B" w:rsidRPr="00296541" w:rsidRDefault="00F44C9B" w:rsidP="00F44C9B">
      <w:pPr>
        <w:rPr>
          <w:rFonts w:asciiTheme="minorHAnsi" w:hAnsiTheme="minorHAnsi" w:cstheme="minorHAnsi"/>
        </w:rPr>
      </w:pPr>
      <w:r w:rsidRPr="00296541">
        <w:rPr>
          <w:rFonts w:asciiTheme="minorHAnsi" w:hAnsiTheme="minorHAnsi" w:cstheme="minorHAnsi"/>
        </w:rPr>
        <w:t>To comply with the Office of Inspector General Compliance Guidance for Laboratories, and Medicare requirements, Gundersen Palmer Lutheran Hospital and Clinics Laboratory must send an annual notice to providers who use our testing services.</w:t>
      </w:r>
    </w:p>
    <w:p w14:paraId="3665C002" w14:textId="77777777" w:rsidR="00F44C9B" w:rsidRPr="00296541" w:rsidRDefault="00F44C9B" w:rsidP="00F44C9B">
      <w:pPr>
        <w:rPr>
          <w:rFonts w:asciiTheme="minorHAnsi" w:hAnsiTheme="minorHAnsi" w:cstheme="minorHAnsi"/>
        </w:rPr>
      </w:pPr>
    </w:p>
    <w:p w14:paraId="631C041E" w14:textId="7883ED9B" w:rsidR="00F44C9B" w:rsidRPr="00296541" w:rsidRDefault="00F44C9B" w:rsidP="00F44C9B">
      <w:pPr>
        <w:rPr>
          <w:rFonts w:asciiTheme="minorHAnsi" w:hAnsiTheme="minorHAnsi" w:cstheme="minorHAnsi"/>
        </w:rPr>
      </w:pPr>
      <w:r w:rsidRPr="00296541">
        <w:rPr>
          <w:rFonts w:asciiTheme="minorHAnsi" w:hAnsiTheme="minorHAnsi" w:cstheme="minorHAnsi"/>
        </w:rPr>
        <w:t>As required, this annual notice includes the following:</w:t>
      </w:r>
    </w:p>
    <w:p w14:paraId="2FA78372" w14:textId="77777777" w:rsidR="00F44C9B" w:rsidRPr="00296541" w:rsidRDefault="00F44C9B" w:rsidP="00F44C9B">
      <w:pPr>
        <w:rPr>
          <w:rFonts w:asciiTheme="minorHAnsi" w:hAnsiTheme="minorHAnsi" w:cstheme="minorHAnsi"/>
          <w:b/>
          <w:u w:val="single"/>
        </w:rPr>
      </w:pPr>
    </w:p>
    <w:p w14:paraId="44D6E085" w14:textId="783F4E30" w:rsidR="00F44C9B" w:rsidRPr="00296541" w:rsidRDefault="00F44C9B" w:rsidP="00F44C9B">
      <w:pPr>
        <w:rPr>
          <w:rFonts w:asciiTheme="minorHAnsi" w:hAnsiTheme="minorHAnsi" w:cstheme="minorHAnsi"/>
          <w:b/>
          <w:u w:val="single"/>
        </w:rPr>
      </w:pPr>
      <w:r w:rsidRPr="00296541">
        <w:rPr>
          <w:rFonts w:asciiTheme="minorHAnsi" w:hAnsiTheme="minorHAnsi" w:cstheme="minorHAnsi"/>
          <w:b/>
          <w:u w:val="single"/>
        </w:rPr>
        <w:t>Medical Necessity Requirements</w:t>
      </w:r>
    </w:p>
    <w:p w14:paraId="3779D6A2" w14:textId="77777777" w:rsidR="00F44C9B" w:rsidRPr="00296541" w:rsidRDefault="00F44C9B" w:rsidP="00F44C9B">
      <w:pPr>
        <w:rPr>
          <w:rFonts w:asciiTheme="minorHAnsi" w:hAnsiTheme="minorHAnsi" w:cstheme="minorHAnsi"/>
        </w:rPr>
      </w:pPr>
    </w:p>
    <w:p w14:paraId="02701E32" w14:textId="3170DF38"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Laboratory tests are reimbursed under federally funded programs if they are deemed “medically necessary” for the diagnosis and treatment of the patient. The Centers for Medicare and Medicaid Services (CMS) has developed national and local coverage decisions that identify those tests that CMS determined will be covered under the Medicare program. Coverage for these services is based on the diagnosis / sign / symptom you assign to the office visit. CMS’ National Coverage Decisions (NCDs) and Local Medical Review Policies (LMRP) can be accessed at </w:t>
      </w:r>
      <w:hyperlink r:id="rId8" w:history="1">
        <w:r w:rsidR="00905FFD">
          <w:rPr>
            <w:rStyle w:val="Hyperlink"/>
          </w:rPr>
          <w:t>https://www.cms.gov/medicare-coverage-database/search.aspx</w:t>
        </w:r>
      </w:hyperlink>
    </w:p>
    <w:p w14:paraId="58BB0CEA" w14:textId="77777777" w:rsidR="006D7B9B" w:rsidRPr="00296541" w:rsidRDefault="006D7B9B" w:rsidP="00F44C9B">
      <w:pPr>
        <w:rPr>
          <w:rFonts w:asciiTheme="minorHAnsi" w:hAnsiTheme="minorHAnsi" w:cstheme="minorHAnsi"/>
        </w:rPr>
      </w:pPr>
    </w:p>
    <w:p w14:paraId="22430968" w14:textId="40FD83EE"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Physicians may order any laboratory tests, including screening test that they believe are appropriate for the treatment of their patients. Tests that are considered screening tests are generally not covered. Therefore, it is a requirement that a diagnosis or symptom is linked to each test ordered.  </w:t>
      </w:r>
    </w:p>
    <w:p w14:paraId="264A3B21" w14:textId="77777777" w:rsidR="00F44C9B" w:rsidRPr="00296541" w:rsidRDefault="00F44C9B" w:rsidP="00F44C9B">
      <w:pPr>
        <w:rPr>
          <w:rFonts w:asciiTheme="minorHAnsi" w:hAnsiTheme="minorHAnsi" w:cstheme="minorHAnsi"/>
          <w:b/>
          <w:u w:val="single"/>
        </w:rPr>
      </w:pPr>
    </w:p>
    <w:p w14:paraId="00CC98D4" w14:textId="582BE056" w:rsidR="00F44C9B" w:rsidRPr="00296541" w:rsidRDefault="00F44C9B" w:rsidP="00F44C9B">
      <w:pPr>
        <w:rPr>
          <w:rFonts w:asciiTheme="minorHAnsi" w:hAnsiTheme="minorHAnsi" w:cstheme="minorHAnsi"/>
          <w:b/>
          <w:u w:val="single"/>
        </w:rPr>
      </w:pPr>
      <w:r w:rsidRPr="00296541">
        <w:rPr>
          <w:rFonts w:asciiTheme="minorHAnsi" w:hAnsiTheme="minorHAnsi" w:cstheme="minorHAnsi"/>
          <w:b/>
          <w:u w:val="single"/>
        </w:rPr>
        <w:t>Advance Beneficiary Notice (ABN or Waiver)</w:t>
      </w:r>
    </w:p>
    <w:p w14:paraId="440FB06B" w14:textId="77777777" w:rsidR="00F44C9B" w:rsidRPr="00296541" w:rsidRDefault="00F44C9B" w:rsidP="00F44C9B">
      <w:pPr>
        <w:spacing w:after="100" w:afterAutospacing="1"/>
        <w:rPr>
          <w:rFonts w:asciiTheme="minorHAnsi" w:hAnsiTheme="minorHAnsi" w:cstheme="minorHAnsi"/>
        </w:rPr>
      </w:pPr>
      <w:r w:rsidRPr="00296541">
        <w:rPr>
          <w:rFonts w:asciiTheme="minorHAnsi" w:hAnsiTheme="minorHAnsi" w:cstheme="minorHAnsi"/>
        </w:rPr>
        <w:t>Advance Beneficiary Notices are used when you believe that Medicare may not cover an ordered service. The ABN (CMS-R-131) Form Approved OMB No. 0938-0566 is the only written notice recognized by Medicare to satisfy the requirement for alerting Part B fee-for-service beneficiaries when they may be financially liable for an item or service that Medicare will likely deny. The Notice of Denial of Medical Coverage is used when you believe that Medicare Part C (Medicare Advantage) may not cover an ordered service. Each Medicare Part C plan is required to have their own NDMC and cannot use the Medicare approved ABN.  Gundersen Health System is using a Senior Preferred Notice of Denial Medical Coverage.</w:t>
      </w:r>
    </w:p>
    <w:p w14:paraId="28EFC394" w14:textId="77777777" w:rsidR="00F44C9B" w:rsidRPr="00296541" w:rsidRDefault="00F44C9B" w:rsidP="00F44C9B">
      <w:pPr>
        <w:spacing w:after="100" w:afterAutospacing="1"/>
        <w:rPr>
          <w:rFonts w:asciiTheme="minorHAnsi" w:hAnsiTheme="minorHAnsi" w:cstheme="minorHAnsi"/>
          <w:color w:val="373A3C"/>
        </w:rPr>
      </w:pPr>
      <w:r w:rsidRPr="00296541">
        <w:rPr>
          <w:rFonts w:asciiTheme="minorHAnsi" w:hAnsiTheme="minorHAnsi" w:cstheme="minorHAnsi"/>
          <w:color w:val="373A3C"/>
        </w:rPr>
        <w:lastRenderedPageBreak/>
        <w:t>Before the specimen is collected, the patient should be notified, in writing, of the possibility that payment will be denied. Valid ABN or NDMC must include written estimates for the cost of services. An ABN or NDMC is never required in emergent or urgent care cases. The form provides a space to write the test(s) that are ordered and a check-off list of the reasons the claim may be denied.</w:t>
      </w:r>
    </w:p>
    <w:p w14:paraId="112EC761" w14:textId="4E886A53" w:rsidR="00F44C9B" w:rsidRPr="00296541" w:rsidRDefault="00F44C9B" w:rsidP="00F44C9B">
      <w:pPr>
        <w:spacing w:after="100" w:afterAutospacing="1"/>
        <w:rPr>
          <w:rFonts w:asciiTheme="minorHAnsi" w:hAnsiTheme="minorHAnsi" w:cstheme="minorHAnsi"/>
        </w:rPr>
      </w:pPr>
      <w:r w:rsidRPr="00296541">
        <w:rPr>
          <w:rFonts w:asciiTheme="minorHAnsi" w:hAnsiTheme="minorHAnsi" w:cstheme="minorHAnsi"/>
        </w:rPr>
        <w:t xml:space="preserve">This information must be completed before the patient is asked to sign the ABN. Patients cannot be asked to sign a blank or incomplete form. Patients do not need to sign the Senior Preferred Notice of Denial Medical Coverage.  The patient's name and the patient or guarantor's signature and date of service must be on the form. The ABN or NDMC should only be used when you believe that "medical necessity" requirements may not be met. The patient must be given a copy of the ABN or NDMC </w:t>
      </w:r>
      <w:proofErr w:type="gramStart"/>
      <w:r w:rsidRPr="00296541">
        <w:rPr>
          <w:rFonts w:asciiTheme="minorHAnsi" w:hAnsiTheme="minorHAnsi" w:cstheme="minorHAnsi"/>
        </w:rPr>
        <w:t>form</w:t>
      </w:r>
      <w:proofErr w:type="gramEnd"/>
      <w:r w:rsidRPr="00296541">
        <w:rPr>
          <w:rFonts w:asciiTheme="minorHAnsi" w:hAnsiTheme="minorHAnsi" w:cstheme="minorHAnsi"/>
        </w:rPr>
        <w:t xml:space="preserve"> and a copy should be kept at your facility. </w:t>
      </w:r>
      <w:r w:rsidR="006D7B9B" w:rsidRPr="00296541">
        <w:rPr>
          <w:rFonts w:asciiTheme="minorHAnsi" w:hAnsiTheme="minorHAnsi" w:cstheme="minorHAnsi"/>
        </w:rPr>
        <w:t>To</w:t>
      </w:r>
      <w:r w:rsidRPr="00296541">
        <w:rPr>
          <w:rFonts w:asciiTheme="minorHAnsi" w:hAnsiTheme="minorHAnsi" w:cstheme="minorHAnsi"/>
        </w:rPr>
        <w:t xml:space="preserve"> meet these requirements; the ABN or NDMC form prints to be filled out by the patient, the original form is scanned back in as a document after the patient signs the ABN or has been provided an SP-NDMC, and the patient receives a copy.</w:t>
      </w:r>
    </w:p>
    <w:p w14:paraId="4AA39A12" w14:textId="28900CB7"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This information must be completed before the patient is asked to sign. Patients cannot be asked to sign a blank or incomplete form. The patient’s name and the patient or guarantor’s signature and date of service must be on the form. The ABN or NDMC should only be used when you believe that “medical necessity” requirements may not be met. The patient must be given a copy of the ABN or NDMC </w:t>
      </w:r>
      <w:proofErr w:type="gramStart"/>
      <w:r w:rsidRPr="00296541">
        <w:rPr>
          <w:rFonts w:asciiTheme="minorHAnsi" w:hAnsiTheme="minorHAnsi" w:cstheme="minorHAnsi"/>
        </w:rPr>
        <w:t>form</w:t>
      </w:r>
      <w:proofErr w:type="gramEnd"/>
      <w:r w:rsidRPr="00296541">
        <w:rPr>
          <w:rFonts w:asciiTheme="minorHAnsi" w:hAnsiTheme="minorHAnsi" w:cstheme="minorHAnsi"/>
        </w:rPr>
        <w:t xml:space="preserve"> and a copy should be kept at your facility. </w:t>
      </w:r>
      <w:r w:rsidR="006D7B9B" w:rsidRPr="00296541">
        <w:rPr>
          <w:rFonts w:asciiTheme="minorHAnsi" w:hAnsiTheme="minorHAnsi" w:cstheme="minorHAnsi"/>
        </w:rPr>
        <w:t>To</w:t>
      </w:r>
      <w:r w:rsidRPr="00296541">
        <w:rPr>
          <w:rFonts w:asciiTheme="minorHAnsi" w:hAnsiTheme="minorHAnsi" w:cstheme="minorHAnsi"/>
        </w:rPr>
        <w:t xml:space="preserve"> meet these requirements; the ABN or NDMC form prints to be filled out by the patient, the original form is scanned back in as a document after the patient signs the ABN or NDMC, and the patient receives a copy.</w:t>
      </w:r>
    </w:p>
    <w:p w14:paraId="7574C184" w14:textId="77777777" w:rsidR="00F44C9B" w:rsidRPr="00296541" w:rsidRDefault="00F44C9B" w:rsidP="00F44C9B">
      <w:pPr>
        <w:rPr>
          <w:rFonts w:asciiTheme="minorHAnsi" w:hAnsiTheme="minorHAnsi" w:cstheme="minorHAnsi"/>
          <w:b/>
          <w:u w:val="single"/>
        </w:rPr>
      </w:pPr>
    </w:p>
    <w:p w14:paraId="015A8979" w14:textId="08CB2C72" w:rsidR="00F44C9B" w:rsidRPr="00296541" w:rsidRDefault="00F44C9B" w:rsidP="00F44C9B">
      <w:pPr>
        <w:rPr>
          <w:rFonts w:asciiTheme="minorHAnsi" w:hAnsiTheme="minorHAnsi" w:cstheme="minorHAnsi"/>
          <w:b/>
          <w:u w:val="single"/>
        </w:rPr>
      </w:pPr>
      <w:r w:rsidRPr="00296541">
        <w:rPr>
          <w:rFonts w:asciiTheme="minorHAnsi" w:hAnsiTheme="minorHAnsi" w:cstheme="minorHAnsi"/>
          <w:b/>
          <w:u w:val="single"/>
        </w:rPr>
        <w:t>Panels/Profiles</w:t>
      </w:r>
    </w:p>
    <w:p w14:paraId="09588DC6"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Gundersen Palmer Lutheran Hospital and Clinics Laboratory offers a small number of disease-oriented test groups, often referred to as profiles or panels that are found in CPT. It should be noted that tests that make up the panels can be ordered separately. If all tests that make up a designated panel are ordered separately the panel will be billed.  This letter informs physicians that using a customized profile may result in the ordering of tests for which Medicare may deny payment.</w:t>
      </w:r>
    </w:p>
    <w:p w14:paraId="3B9ADAE3" w14:textId="77777777" w:rsidR="00F44C9B" w:rsidRPr="00296541" w:rsidRDefault="00F44C9B" w:rsidP="00F44C9B">
      <w:pPr>
        <w:rPr>
          <w:rFonts w:asciiTheme="minorHAnsi" w:hAnsiTheme="minorHAnsi" w:cstheme="minorHAnsi"/>
        </w:rPr>
      </w:pPr>
    </w:p>
    <w:p w14:paraId="25439BDB" w14:textId="1B30D652" w:rsidR="00F44C9B" w:rsidRPr="00296541" w:rsidRDefault="00F44C9B" w:rsidP="00F44C9B">
      <w:pPr>
        <w:rPr>
          <w:rFonts w:asciiTheme="minorHAnsi" w:hAnsiTheme="minorHAnsi" w:cstheme="minorHAnsi"/>
        </w:rPr>
      </w:pPr>
      <w:r w:rsidRPr="00296541">
        <w:rPr>
          <w:rFonts w:asciiTheme="minorHAnsi" w:hAnsiTheme="minorHAnsi" w:cstheme="minorHAnsi"/>
        </w:rPr>
        <w:t>Currently we offer the following AMA defined panels:</w:t>
      </w:r>
    </w:p>
    <w:p w14:paraId="32615720" w14:textId="77777777" w:rsidR="00F44C9B" w:rsidRPr="00296541" w:rsidRDefault="00F44C9B" w:rsidP="00F44C9B">
      <w:pPr>
        <w:rPr>
          <w:rFonts w:asciiTheme="minorHAnsi" w:hAnsiTheme="minorHAnsi" w:cstheme="minorHAnsi"/>
        </w:rPr>
      </w:pPr>
    </w:p>
    <w:p w14:paraId="2DBEE502" w14:textId="3ECBFACD"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Lipid Panel Lipoprotein Analysis CPT 80061</w:t>
      </w:r>
    </w:p>
    <w:p w14:paraId="0F6441A7"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Cholesterol, Total</w:t>
      </w:r>
    </w:p>
    <w:p w14:paraId="14375D2E"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HDL Cholesterol</w:t>
      </w:r>
    </w:p>
    <w:p w14:paraId="2AFE5DB4"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Triglycerides</w:t>
      </w:r>
    </w:p>
    <w:p w14:paraId="7B5D961F" w14:textId="77777777" w:rsidR="00F44C9B" w:rsidRPr="00296541" w:rsidRDefault="00F44C9B" w:rsidP="00F44C9B">
      <w:pPr>
        <w:rPr>
          <w:rFonts w:asciiTheme="minorHAnsi" w:hAnsiTheme="minorHAnsi" w:cstheme="minorHAnsi"/>
        </w:rPr>
      </w:pPr>
    </w:p>
    <w:p w14:paraId="7D4BD0D2" w14:textId="77777777" w:rsidR="00F44C9B" w:rsidRPr="00296541" w:rsidRDefault="00F44C9B" w:rsidP="00F44C9B">
      <w:pPr>
        <w:rPr>
          <w:rFonts w:asciiTheme="minorHAnsi" w:hAnsiTheme="minorHAnsi" w:cstheme="minorHAnsi"/>
        </w:rPr>
      </w:pPr>
    </w:p>
    <w:p w14:paraId="1AE335E8" w14:textId="77777777" w:rsidR="00F44C9B" w:rsidRPr="00296541" w:rsidRDefault="00F44C9B" w:rsidP="00F44C9B">
      <w:pPr>
        <w:rPr>
          <w:rFonts w:asciiTheme="minorHAnsi" w:hAnsiTheme="minorHAnsi" w:cstheme="minorHAnsi"/>
        </w:rPr>
      </w:pPr>
    </w:p>
    <w:p w14:paraId="50550FA5" w14:textId="6096F934"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Electrolyte Panel CPT 80051</w:t>
      </w:r>
    </w:p>
    <w:p w14:paraId="6A461038"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Carbon Dioxide</w:t>
      </w:r>
    </w:p>
    <w:p w14:paraId="1CE92809"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Chloride</w:t>
      </w:r>
    </w:p>
    <w:p w14:paraId="37B1A62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lastRenderedPageBreak/>
        <w:t>Potassium</w:t>
      </w:r>
    </w:p>
    <w:p w14:paraId="353F170E"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Sodium</w:t>
      </w:r>
    </w:p>
    <w:p w14:paraId="50645079" w14:textId="77777777" w:rsidR="00F44C9B" w:rsidRPr="00296541" w:rsidRDefault="00F44C9B" w:rsidP="00F44C9B">
      <w:pPr>
        <w:rPr>
          <w:rFonts w:asciiTheme="minorHAnsi" w:hAnsiTheme="minorHAnsi" w:cstheme="minorHAnsi"/>
        </w:rPr>
      </w:pPr>
    </w:p>
    <w:p w14:paraId="33700A60" w14:textId="5B58397F"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Hepatic Function Panel CPT 80076</w:t>
      </w:r>
    </w:p>
    <w:p w14:paraId="6C4AC53C"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Albumin</w:t>
      </w:r>
    </w:p>
    <w:p w14:paraId="0B7D9020"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Total Protein</w:t>
      </w:r>
    </w:p>
    <w:p w14:paraId="6B0EE2E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Total Bilirubin</w:t>
      </w:r>
    </w:p>
    <w:p w14:paraId="3522C7FA"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Direct Bilirubin</w:t>
      </w:r>
    </w:p>
    <w:p w14:paraId="125E8D93"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AST</w:t>
      </w:r>
    </w:p>
    <w:p w14:paraId="506A0C6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ALT</w:t>
      </w:r>
    </w:p>
    <w:p w14:paraId="0F69C620"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Alkaline Phosphatase</w:t>
      </w:r>
    </w:p>
    <w:p w14:paraId="67E267C7" w14:textId="77777777" w:rsidR="00F44C9B" w:rsidRPr="00296541" w:rsidRDefault="00F44C9B" w:rsidP="00F44C9B">
      <w:pPr>
        <w:rPr>
          <w:rFonts w:asciiTheme="minorHAnsi" w:hAnsiTheme="minorHAnsi" w:cstheme="minorHAnsi"/>
        </w:rPr>
      </w:pPr>
    </w:p>
    <w:p w14:paraId="73B4394C" w14:textId="77777777"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Basic Metabolic Panel CPT 80048</w:t>
      </w:r>
    </w:p>
    <w:p w14:paraId="64070A0D"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Sodium</w:t>
      </w:r>
    </w:p>
    <w:p w14:paraId="7D196EDC"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Potassium</w:t>
      </w:r>
    </w:p>
    <w:p w14:paraId="53BEDB77"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Chloride</w:t>
      </w:r>
    </w:p>
    <w:p w14:paraId="5BF653A6"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Carbon Dioxide</w:t>
      </w:r>
    </w:p>
    <w:p w14:paraId="13F3E4F8"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BUN</w:t>
      </w:r>
    </w:p>
    <w:p w14:paraId="0EA3B385"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Creatinine</w:t>
      </w:r>
    </w:p>
    <w:p w14:paraId="392ABC59"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Glucose</w:t>
      </w:r>
    </w:p>
    <w:p w14:paraId="378883AA"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Calcium</w:t>
      </w:r>
    </w:p>
    <w:p w14:paraId="0B2FE8BA" w14:textId="77777777" w:rsidR="00F44C9B" w:rsidRPr="00296541" w:rsidRDefault="00F44C9B" w:rsidP="00F44C9B">
      <w:pPr>
        <w:rPr>
          <w:rFonts w:asciiTheme="minorHAnsi" w:hAnsiTheme="minorHAnsi" w:cstheme="minorHAnsi"/>
        </w:rPr>
      </w:pPr>
    </w:p>
    <w:p w14:paraId="47FFE47D" w14:textId="77777777"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Comprehensive Metabolic Panel CPT 80053</w:t>
      </w:r>
    </w:p>
    <w:p w14:paraId="3EED5CBD"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Sodium</w:t>
      </w:r>
    </w:p>
    <w:p w14:paraId="330B8385"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Potassium</w:t>
      </w:r>
    </w:p>
    <w:p w14:paraId="5BC15C62"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Chloride</w:t>
      </w:r>
    </w:p>
    <w:p w14:paraId="2401F7FD"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Carbon Dioxide</w:t>
      </w:r>
    </w:p>
    <w:p w14:paraId="7A937D53"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BUN</w:t>
      </w:r>
    </w:p>
    <w:p w14:paraId="073BBFE2"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Creatinine</w:t>
      </w:r>
    </w:p>
    <w:p w14:paraId="1A3CF5C7"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Glucose</w:t>
      </w:r>
    </w:p>
    <w:p w14:paraId="2FADA15F"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Calcium</w:t>
      </w:r>
    </w:p>
    <w:p w14:paraId="33147754"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Albumin</w:t>
      </w:r>
    </w:p>
    <w:p w14:paraId="3332A5BC"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Total Protein</w:t>
      </w:r>
    </w:p>
    <w:p w14:paraId="390CFD6E"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Total Bilirubin</w:t>
      </w:r>
    </w:p>
    <w:p w14:paraId="42634086"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AST</w:t>
      </w:r>
    </w:p>
    <w:p w14:paraId="74AF2D2B"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ALT</w:t>
      </w:r>
    </w:p>
    <w:p w14:paraId="19EDA07F" w14:textId="0E9EF09F" w:rsidR="00F44C9B" w:rsidRPr="00296541" w:rsidRDefault="00F44C9B" w:rsidP="00F44C9B">
      <w:pPr>
        <w:rPr>
          <w:rFonts w:asciiTheme="minorHAnsi" w:hAnsiTheme="minorHAnsi" w:cstheme="minorHAnsi"/>
        </w:rPr>
      </w:pPr>
      <w:r w:rsidRPr="00296541">
        <w:rPr>
          <w:rFonts w:asciiTheme="minorHAnsi" w:hAnsiTheme="minorHAnsi" w:cstheme="minorHAnsi"/>
        </w:rPr>
        <w:t>Alkaline Phosphatase</w:t>
      </w:r>
    </w:p>
    <w:p w14:paraId="0281B6B8" w14:textId="77777777" w:rsidR="006D7B9B" w:rsidRPr="00296541" w:rsidRDefault="006D7B9B" w:rsidP="00F44C9B">
      <w:pPr>
        <w:rPr>
          <w:rFonts w:asciiTheme="minorHAnsi" w:hAnsiTheme="minorHAnsi" w:cstheme="minorHAnsi"/>
        </w:rPr>
      </w:pPr>
    </w:p>
    <w:p w14:paraId="5232689F" w14:textId="6D135696" w:rsidR="00F44C9B" w:rsidRPr="00296541" w:rsidRDefault="00F44C9B" w:rsidP="00F44C9B">
      <w:pPr>
        <w:rPr>
          <w:rFonts w:asciiTheme="minorHAnsi" w:hAnsiTheme="minorHAnsi" w:cstheme="minorHAnsi"/>
          <w:u w:val="single"/>
        </w:rPr>
      </w:pPr>
      <w:r w:rsidRPr="00296541">
        <w:rPr>
          <w:rFonts w:asciiTheme="minorHAnsi" w:hAnsiTheme="minorHAnsi" w:cstheme="minorHAnsi"/>
          <w:u w:val="single"/>
        </w:rPr>
        <w:t>Renal Function Panel CPT 80069</w:t>
      </w:r>
    </w:p>
    <w:p w14:paraId="72E4878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Sodium</w:t>
      </w:r>
    </w:p>
    <w:p w14:paraId="442F67B5"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Potassium</w:t>
      </w:r>
    </w:p>
    <w:p w14:paraId="69AA70BB"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lastRenderedPageBreak/>
        <w:t>Chloride</w:t>
      </w:r>
    </w:p>
    <w:p w14:paraId="4AB397F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Carbon Dioxide</w:t>
      </w:r>
    </w:p>
    <w:p w14:paraId="66D8C281"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BUN</w:t>
      </w:r>
    </w:p>
    <w:p w14:paraId="24AAB36B"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Creatinine</w:t>
      </w:r>
    </w:p>
    <w:p w14:paraId="43B1E092"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Glucose</w:t>
      </w:r>
    </w:p>
    <w:p w14:paraId="1A010C92"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Calcium</w:t>
      </w:r>
    </w:p>
    <w:p w14:paraId="354BF41D"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Phosphorus</w:t>
      </w:r>
    </w:p>
    <w:p w14:paraId="3DE0C36B"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Albumin</w:t>
      </w:r>
    </w:p>
    <w:p w14:paraId="3FAB17E9" w14:textId="77777777" w:rsidR="00F44C9B" w:rsidRPr="00296541" w:rsidRDefault="00F44C9B" w:rsidP="00F44C9B">
      <w:pPr>
        <w:rPr>
          <w:rFonts w:asciiTheme="minorHAnsi" w:hAnsiTheme="minorHAnsi" w:cstheme="minorHAnsi"/>
        </w:rPr>
      </w:pPr>
    </w:p>
    <w:p w14:paraId="21C1282D"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Other test groups, such as Hepatitis Panel, are offered but do not include the exact makeup of tests that CMS specifies. In these cases, individual members of the test group are billed separately, and each component of a panel must have a diagnosis linked to it. Unless all components of the panel are “medically necessary”, according to Medicare’s (NCD)-LMRP-, the claim will be denied. </w:t>
      </w:r>
    </w:p>
    <w:p w14:paraId="56CC5FF2" w14:textId="77777777" w:rsidR="00F44C9B" w:rsidRPr="00296541" w:rsidRDefault="00F44C9B" w:rsidP="00F44C9B">
      <w:pPr>
        <w:rPr>
          <w:rFonts w:asciiTheme="minorHAnsi" w:hAnsiTheme="minorHAnsi" w:cstheme="minorHAnsi"/>
        </w:rPr>
      </w:pPr>
    </w:p>
    <w:p w14:paraId="0A2F1AB8" w14:textId="54083F03" w:rsidR="00F44C9B" w:rsidRPr="00296541" w:rsidRDefault="00F44C9B" w:rsidP="00F44C9B">
      <w:pPr>
        <w:rPr>
          <w:rFonts w:asciiTheme="minorHAnsi" w:hAnsiTheme="minorHAnsi" w:cstheme="minorHAnsi"/>
        </w:rPr>
      </w:pPr>
      <w:r w:rsidRPr="00296541">
        <w:rPr>
          <w:rFonts w:asciiTheme="minorHAnsi" w:hAnsiTheme="minorHAnsi" w:cstheme="minorHAnsi"/>
        </w:rPr>
        <w:t>The Office of Inspector General takes the position that a provider should only order those tests which the provider believes are medically necessary for each patient; therefore, all components of a customized profile must be medically necessary and will be reimbursed separately in accordance with the clinical laboratory fee schedule. A provider, who knowingly causes a false claim to be submitted by ordering a customized profile that all components are not medically necessary, may be subject to civil penalties.</w:t>
      </w:r>
    </w:p>
    <w:p w14:paraId="4C20CC8D" w14:textId="77777777" w:rsidR="00F44C9B" w:rsidRPr="00296541" w:rsidRDefault="00F44C9B" w:rsidP="00F44C9B">
      <w:pPr>
        <w:rPr>
          <w:rFonts w:asciiTheme="minorHAnsi" w:hAnsiTheme="minorHAnsi" w:cstheme="minorHAnsi"/>
        </w:rPr>
      </w:pPr>
    </w:p>
    <w:p w14:paraId="2154108C" w14:textId="77777777" w:rsidR="00F44C9B" w:rsidRPr="00296541" w:rsidRDefault="00F44C9B" w:rsidP="00F44C9B">
      <w:pPr>
        <w:rPr>
          <w:rFonts w:asciiTheme="minorHAnsi" w:hAnsiTheme="minorHAnsi" w:cstheme="minorHAnsi"/>
          <w:b/>
          <w:u w:val="single"/>
        </w:rPr>
      </w:pPr>
      <w:r w:rsidRPr="00296541">
        <w:rPr>
          <w:rFonts w:asciiTheme="minorHAnsi" w:hAnsiTheme="minorHAnsi" w:cstheme="minorHAnsi"/>
          <w:b/>
          <w:u w:val="single"/>
        </w:rPr>
        <w:t>Medicare Reimbursement Fee Schedule</w:t>
      </w:r>
    </w:p>
    <w:p w14:paraId="149F5312" w14:textId="77777777" w:rsidR="00F44C9B" w:rsidRPr="00296541" w:rsidRDefault="00F44C9B" w:rsidP="00F44C9B">
      <w:pPr>
        <w:rPr>
          <w:rFonts w:asciiTheme="minorHAnsi" w:hAnsiTheme="minorHAnsi" w:cstheme="minorHAnsi"/>
        </w:rPr>
      </w:pPr>
    </w:p>
    <w:p w14:paraId="310B7DBD" w14:textId="11EB8D7B"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Critical Access Hospitals are reimbursed for laboratory services by a cost percentage.  At Gundersen Palmer Lutheran Hospital and </w:t>
      </w:r>
      <w:proofErr w:type="gramStart"/>
      <w:r w:rsidRPr="00296541">
        <w:rPr>
          <w:rFonts w:asciiTheme="minorHAnsi" w:hAnsiTheme="minorHAnsi" w:cstheme="minorHAnsi"/>
        </w:rPr>
        <w:t>Clinics;</w:t>
      </w:r>
      <w:proofErr w:type="gramEnd"/>
      <w:r w:rsidRPr="00296541">
        <w:rPr>
          <w:rFonts w:asciiTheme="minorHAnsi" w:hAnsiTheme="minorHAnsi" w:cstheme="minorHAnsi"/>
        </w:rPr>
        <w:t xml:space="preserve"> all payers are charged the same, and it is our understanding that the Medicaid reimbursement amount is equal to or less than the amount of Medicare reimbursement. </w:t>
      </w:r>
    </w:p>
    <w:p w14:paraId="7822B8DF" w14:textId="3A2DBC2B" w:rsidR="00F44C9B" w:rsidRDefault="00F44C9B" w:rsidP="00F44C9B">
      <w:pPr>
        <w:rPr>
          <w:rFonts w:asciiTheme="minorHAnsi" w:hAnsiTheme="minorHAnsi" w:cstheme="minorHAnsi"/>
          <w:b/>
          <w:u w:val="single"/>
        </w:rPr>
      </w:pPr>
    </w:p>
    <w:p w14:paraId="58B9319C" w14:textId="77777777" w:rsidR="00085AE2" w:rsidRPr="00296541" w:rsidRDefault="00085AE2" w:rsidP="00085AE2">
      <w:pPr>
        <w:rPr>
          <w:rFonts w:asciiTheme="minorHAnsi" w:hAnsiTheme="minorHAnsi" w:cstheme="minorHAnsi"/>
          <w:b/>
          <w:u w:val="single"/>
        </w:rPr>
      </w:pPr>
      <w:r w:rsidRPr="00296541">
        <w:rPr>
          <w:rFonts w:asciiTheme="minorHAnsi" w:hAnsiTheme="minorHAnsi" w:cstheme="minorHAnsi"/>
          <w:b/>
          <w:u w:val="single"/>
        </w:rPr>
        <w:t>CPT or HCPCS Codes</w:t>
      </w:r>
    </w:p>
    <w:p w14:paraId="74ACC808" w14:textId="77777777" w:rsidR="00085AE2" w:rsidRPr="00085AE2" w:rsidRDefault="00085AE2" w:rsidP="00085AE2">
      <w:pPr>
        <w:rPr>
          <w:rFonts w:asciiTheme="minorHAnsi" w:hAnsiTheme="minorHAnsi" w:cstheme="minorHAnsi"/>
          <w:bCs/>
        </w:rPr>
      </w:pPr>
      <w:r w:rsidRPr="00085AE2">
        <w:rPr>
          <w:rFonts w:asciiTheme="minorHAnsi" w:hAnsiTheme="minorHAnsi" w:cstheme="minorHAnsi"/>
          <w:bCs/>
        </w:rPr>
        <w:t xml:space="preserve">Gundersen Health System will maintain detailed, up-to-date billing codes, policies, and procedures to ensure accuracy of billing for all laboratory services. Compliance, Revenue Cycle, </w:t>
      </w:r>
      <w:proofErr w:type="gramStart"/>
      <w:r w:rsidRPr="00085AE2">
        <w:rPr>
          <w:rFonts w:asciiTheme="minorHAnsi" w:hAnsiTheme="minorHAnsi" w:cstheme="minorHAnsi"/>
          <w:bCs/>
        </w:rPr>
        <w:t>LIS</w:t>
      </w:r>
      <w:proofErr w:type="gramEnd"/>
      <w:r w:rsidRPr="00085AE2">
        <w:rPr>
          <w:rFonts w:asciiTheme="minorHAnsi" w:hAnsiTheme="minorHAnsi" w:cstheme="minorHAnsi"/>
          <w:bCs/>
        </w:rPr>
        <w:t xml:space="preserve"> and Laboratory is charged with responsibility to accurately maintain all information necessary for coding and billing of laboratory services.  Details can be found in RevCycl-1005 (Laboratory Coding and Chargemaster Maintenance)</w:t>
      </w:r>
    </w:p>
    <w:p w14:paraId="07989F7B" w14:textId="3DDFD3BB" w:rsidR="00085AE2" w:rsidRPr="00085AE2" w:rsidRDefault="00EF0801" w:rsidP="00085AE2">
      <w:pPr>
        <w:rPr>
          <w:rFonts w:asciiTheme="minorHAnsi" w:hAnsiTheme="minorHAnsi" w:cstheme="minorHAnsi"/>
          <w:bCs/>
        </w:rPr>
      </w:pPr>
      <w:hyperlink r:id="rId9" w:history="1">
        <w:r w:rsidR="00085AE2" w:rsidRPr="003541A3">
          <w:rPr>
            <w:rStyle w:val="Hyperlink"/>
            <w:rFonts w:asciiTheme="minorHAnsi" w:hAnsiTheme="minorHAnsi" w:cstheme="minorHAnsi"/>
            <w:bCs/>
          </w:rPr>
          <w:t>https://gndrsn-gundersen.policystat.com/policy/10027089/latest/</w:t>
        </w:r>
      </w:hyperlink>
      <w:r w:rsidR="00085AE2">
        <w:rPr>
          <w:rFonts w:asciiTheme="minorHAnsi" w:hAnsiTheme="minorHAnsi" w:cstheme="minorHAnsi"/>
          <w:bCs/>
        </w:rPr>
        <w:t xml:space="preserve"> </w:t>
      </w:r>
    </w:p>
    <w:p w14:paraId="4F8F3C11" w14:textId="77777777" w:rsidR="00F44C9B" w:rsidRPr="00296541" w:rsidRDefault="00F44C9B" w:rsidP="00F44C9B">
      <w:pPr>
        <w:rPr>
          <w:rFonts w:asciiTheme="minorHAnsi" w:hAnsiTheme="minorHAnsi" w:cstheme="minorHAnsi"/>
          <w:b/>
          <w:u w:val="single"/>
        </w:rPr>
      </w:pPr>
    </w:p>
    <w:p w14:paraId="532CD4FC" w14:textId="77777777" w:rsidR="00296541" w:rsidRDefault="00296541">
      <w:pPr>
        <w:rPr>
          <w:rFonts w:asciiTheme="minorHAnsi" w:hAnsiTheme="minorHAnsi" w:cstheme="minorHAnsi"/>
          <w:b/>
          <w:u w:val="single"/>
        </w:rPr>
      </w:pPr>
      <w:r>
        <w:rPr>
          <w:rFonts w:asciiTheme="minorHAnsi" w:hAnsiTheme="minorHAnsi" w:cstheme="minorHAnsi"/>
          <w:b/>
          <w:u w:val="single"/>
        </w:rPr>
        <w:br w:type="page"/>
      </w:r>
    </w:p>
    <w:p w14:paraId="2911B0DE" w14:textId="4A665738" w:rsidR="00F44C9B" w:rsidRPr="00296541" w:rsidRDefault="00F44C9B" w:rsidP="00F44C9B">
      <w:pPr>
        <w:rPr>
          <w:rFonts w:asciiTheme="minorHAnsi" w:hAnsiTheme="minorHAnsi" w:cstheme="minorHAnsi"/>
          <w:b/>
          <w:u w:val="single"/>
        </w:rPr>
      </w:pPr>
      <w:r w:rsidRPr="00296541">
        <w:rPr>
          <w:rFonts w:asciiTheme="minorHAnsi" w:hAnsiTheme="minorHAnsi" w:cstheme="minorHAnsi"/>
          <w:b/>
          <w:u w:val="single"/>
        </w:rPr>
        <w:lastRenderedPageBreak/>
        <w:t>Reflex Testing Protocols</w:t>
      </w:r>
    </w:p>
    <w:p w14:paraId="33075B13" w14:textId="77777777" w:rsidR="00F44C9B" w:rsidRPr="00296541" w:rsidRDefault="00F44C9B" w:rsidP="00F44C9B">
      <w:pPr>
        <w:rPr>
          <w:rFonts w:asciiTheme="minorHAnsi" w:hAnsiTheme="minorHAnsi" w:cstheme="minorHAnsi"/>
        </w:rPr>
      </w:pPr>
    </w:p>
    <w:p w14:paraId="26BAF610" w14:textId="45002E91" w:rsidR="00F44C9B" w:rsidRPr="00296541" w:rsidRDefault="00F44C9B" w:rsidP="00F44C9B">
      <w:pPr>
        <w:rPr>
          <w:rFonts w:asciiTheme="minorHAnsi" w:hAnsiTheme="minorHAnsi" w:cstheme="minorHAnsi"/>
        </w:rPr>
      </w:pPr>
      <w:r w:rsidRPr="00296541">
        <w:rPr>
          <w:rFonts w:asciiTheme="minorHAnsi" w:hAnsiTheme="minorHAnsi" w:cstheme="minorHAnsi"/>
        </w:rPr>
        <w:t>In a limited number of predefined circumstances and based on initial test results, additional subsequent laboratory tests will be performed. These are referred to as reflex testing protocols. When performed, the reflex tests are billed to the patient. If the patient’s condition does not warrant the additional testing, providers have the option to order the initial test without the automatic reflex testing.  Following is a list of additional tests that laboratory staff automatically performs after a positive initial test result:</w:t>
      </w:r>
    </w:p>
    <w:p w14:paraId="27D6EC5A" w14:textId="77777777" w:rsidR="00F44C9B" w:rsidRPr="00296541" w:rsidRDefault="00F44C9B" w:rsidP="00F44C9B">
      <w:pPr>
        <w:rPr>
          <w:rFonts w:asciiTheme="minorHAnsi" w:hAnsiTheme="minorHAnsi" w:cstheme="minorHAnsi"/>
        </w:rPr>
      </w:pPr>
    </w:p>
    <w:p w14:paraId="6D7E8D3D" w14:textId="3C3DBF0B" w:rsidR="00F44C9B" w:rsidRPr="00296541" w:rsidRDefault="00F44C9B" w:rsidP="00F44C9B">
      <w:pPr>
        <w:rPr>
          <w:rFonts w:asciiTheme="minorHAnsi" w:hAnsiTheme="minorHAnsi" w:cstheme="minorHAnsi"/>
        </w:rPr>
      </w:pPr>
      <w:r w:rsidRPr="00296541">
        <w:rPr>
          <w:rFonts w:asciiTheme="minorHAnsi" w:hAnsiTheme="minorHAnsi" w:cstheme="minorHAnsi"/>
        </w:rPr>
        <w:t>Blood Bank:</w:t>
      </w:r>
    </w:p>
    <w:p w14:paraId="2AFD5DAA" w14:textId="7B360CFD" w:rsidR="00F44C9B" w:rsidRPr="00296541" w:rsidRDefault="00F44C9B" w:rsidP="00F44C9B">
      <w:pPr>
        <w:rPr>
          <w:rFonts w:asciiTheme="minorHAnsi" w:hAnsiTheme="minorHAnsi" w:cstheme="minorHAnsi"/>
        </w:rPr>
      </w:pPr>
      <w:r w:rsidRPr="00296541">
        <w:rPr>
          <w:rFonts w:asciiTheme="minorHAnsi" w:hAnsiTheme="minorHAnsi" w:cstheme="minorHAnsi"/>
        </w:rPr>
        <w:t>A positive antibody screen will reflex to an antibody identification testing.</w:t>
      </w:r>
    </w:p>
    <w:p w14:paraId="3B927146" w14:textId="77777777" w:rsidR="00F44C9B" w:rsidRPr="00296541" w:rsidRDefault="00F44C9B" w:rsidP="00F44C9B">
      <w:pPr>
        <w:rPr>
          <w:rFonts w:asciiTheme="minorHAnsi" w:hAnsiTheme="minorHAnsi" w:cstheme="minorHAnsi"/>
        </w:rPr>
      </w:pPr>
    </w:p>
    <w:p w14:paraId="54FF0A03" w14:textId="1FD4A389" w:rsidR="00F44C9B" w:rsidRPr="00296541" w:rsidRDefault="00F44C9B" w:rsidP="00F44C9B">
      <w:pPr>
        <w:rPr>
          <w:rFonts w:asciiTheme="minorHAnsi" w:hAnsiTheme="minorHAnsi" w:cstheme="minorHAnsi"/>
        </w:rPr>
      </w:pPr>
      <w:r w:rsidRPr="00296541">
        <w:rPr>
          <w:rFonts w:asciiTheme="minorHAnsi" w:hAnsiTheme="minorHAnsi" w:cstheme="minorHAnsi"/>
        </w:rPr>
        <w:t>A positive antibody screen on a pre-screen order will reflex an ABO/Rh.</w:t>
      </w:r>
    </w:p>
    <w:p w14:paraId="57300B53" w14:textId="77777777"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When a clinically significant antibody is identified and red cell products are ordered, reflex testing will include antigen typing of donor cells and a Coombs crossmatch for each red cell product. </w:t>
      </w:r>
    </w:p>
    <w:p w14:paraId="189662C3" w14:textId="77777777" w:rsidR="00F44C9B" w:rsidRPr="00296541" w:rsidRDefault="00F44C9B" w:rsidP="00F44C9B">
      <w:pPr>
        <w:rPr>
          <w:rFonts w:asciiTheme="minorHAnsi" w:hAnsiTheme="minorHAnsi" w:cstheme="minorHAnsi"/>
        </w:rPr>
      </w:pPr>
    </w:p>
    <w:p w14:paraId="692F611E" w14:textId="7C104E3D" w:rsidR="00F44C9B" w:rsidRPr="00296541" w:rsidRDefault="00F44C9B" w:rsidP="00F44C9B">
      <w:pPr>
        <w:rPr>
          <w:rFonts w:asciiTheme="minorHAnsi" w:hAnsiTheme="minorHAnsi" w:cstheme="minorHAnsi"/>
        </w:rPr>
      </w:pPr>
      <w:r w:rsidRPr="00296541">
        <w:rPr>
          <w:rFonts w:asciiTheme="minorHAnsi" w:hAnsiTheme="minorHAnsi" w:cstheme="minorHAnsi"/>
        </w:rPr>
        <w:t>When the DAT (Coombs) test is positive, reflex testing is based on patient history and may include an antibody eluate or auto adsorption.</w:t>
      </w:r>
    </w:p>
    <w:p w14:paraId="280FFD56" w14:textId="77777777" w:rsidR="00F44C9B" w:rsidRPr="00296541" w:rsidRDefault="00F44C9B" w:rsidP="00F44C9B">
      <w:pPr>
        <w:rPr>
          <w:rFonts w:asciiTheme="minorHAnsi" w:hAnsiTheme="minorHAnsi" w:cstheme="minorHAnsi"/>
        </w:rPr>
      </w:pPr>
    </w:p>
    <w:p w14:paraId="59ADA04D" w14:textId="160C9BE7"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A </w:t>
      </w:r>
      <w:r w:rsidR="00296541" w:rsidRPr="00296541">
        <w:rPr>
          <w:rFonts w:asciiTheme="minorHAnsi" w:hAnsiTheme="minorHAnsi" w:cstheme="minorHAnsi"/>
        </w:rPr>
        <w:t>Rh-negative</w:t>
      </w:r>
      <w:r w:rsidRPr="00296541">
        <w:rPr>
          <w:rFonts w:asciiTheme="minorHAnsi" w:hAnsiTheme="minorHAnsi" w:cstheme="minorHAnsi"/>
        </w:rPr>
        <w:t xml:space="preserve"> mother with a </w:t>
      </w:r>
      <w:proofErr w:type="gramStart"/>
      <w:r w:rsidRPr="00296541">
        <w:rPr>
          <w:rFonts w:asciiTheme="minorHAnsi" w:hAnsiTheme="minorHAnsi" w:cstheme="minorHAnsi"/>
        </w:rPr>
        <w:t>Rh positive</w:t>
      </w:r>
      <w:proofErr w:type="gramEnd"/>
      <w:r w:rsidRPr="00296541">
        <w:rPr>
          <w:rFonts w:asciiTheme="minorHAnsi" w:hAnsiTheme="minorHAnsi" w:cstheme="minorHAnsi"/>
        </w:rPr>
        <w:t xml:space="preserve"> newborn will reflex to a fetal bleed screen.</w:t>
      </w:r>
    </w:p>
    <w:p w14:paraId="48A09E64" w14:textId="77777777" w:rsidR="00F44C9B" w:rsidRPr="00296541" w:rsidRDefault="00F44C9B" w:rsidP="00F44C9B">
      <w:pPr>
        <w:rPr>
          <w:rFonts w:asciiTheme="minorHAnsi" w:hAnsiTheme="minorHAnsi" w:cstheme="minorHAnsi"/>
        </w:rPr>
      </w:pPr>
    </w:p>
    <w:p w14:paraId="74EB9318" w14:textId="0876978D" w:rsidR="00F44C9B" w:rsidRPr="00296541" w:rsidRDefault="00F44C9B" w:rsidP="00F44C9B">
      <w:pPr>
        <w:rPr>
          <w:rFonts w:asciiTheme="minorHAnsi" w:hAnsiTheme="minorHAnsi" w:cstheme="minorHAnsi"/>
        </w:rPr>
      </w:pPr>
      <w:r w:rsidRPr="00296541">
        <w:rPr>
          <w:rFonts w:asciiTheme="minorHAnsi" w:hAnsiTheme="minorHAnsi" w:cstheme="minorHAnsi"/>
        </w:rPr>
        <w:t>For Rh-negative Rho (D) Immune Globulin candidates a fetal hemoglobin stain follows a positive fetal bleed screen.</w:t>
      </w:r>
    </w:p>
    <w:p w14:paraId="11B91AAD" w14:textId="77777777" w:rsidR="00F44C9B" w:rsidRPr="00296541" w:rsidRDefault="00F44C9B" w:rsidP="00F44C9B">
      <w:pPr>
        <w:rPr>
          <w:rFonts w:asciiTheme="minorHAnsi" w:hAnsiTheme="minorHAnsi" w:cstheme="minorHAnsi"/>
        </w:rPr>
      </w:pPr>
    </w:p>
    <w:p w14:paraId="0C76F9DB" w14:textId="54E93593" w:rsidR="00F44C9B" w:rsidRPr="00296541" w:rsidRDefault="00F44C9B" w:rsidP="00F44C9B">
      <w:pPr>
        <w:rPr>
          <w:rFonts w:asciiTheme="minorHAnsi" w:hAnsiTheme="minorHAnsi" w:cstheme="minorHAnsi"/>
        </w:rPr>
      </w:pPr>
      <w:r w:rsidRPr="00296541">
        <w:rPr>
          <w:rFonts w:asciiTheme="minorHAnsi" w:hAnsiTheme="minorHAnsi" w:cstheme="minorHAnsi"/>
        </w:rPr>
        <w:t>A negative Rh on a newborn will reflex a Weak D test. This is only completed if the mother is also Rh negative.</w:t>
      </w:r>
    </w:p>
    <w:p w14:paraId="2EF26E99" w14:textId="77777777" w:rsidR="00F44C9B" w:rsidRPr="00296541" w:rsidRDefault="00F44C9B" w:rsidP="00F44C9B">
      <w:pPr>
        <w:rPr>
          <w:rFonts w:asciiTheme="minorHAnsi" w:hAnsiTheme="minorHAnsi" w:cstheme="minorHAnsi"/>
        </w:rPr>
      </w:pPr>
    </w:p>
    <w:p w14:paraId="4B5BFD08" w14:textId="05412343" w:rsidR="00F44C9B" w:rsidRPr="00296541" w:rsidRDefault="00F44C9B" w:rsidP="00F44C9B">
      <w:pPr>
        <w:rPr>
          <w:rFonts w:asciiTheme="minorHAnsi" w:hAnsiTheme="minorHAnsi" w:cstheme="minorHAnsi"/>
        </w:rPr>
      </w:pPr>
      <w:r w:rsidRPr="00296541">
        <w:rPr>
          <w:rFonts w:asciiTheme="minorHAnsi" w:hAnsiTheme="minorHAnsi" w:cstheme="minorHAnsi"/>
        </w:rPr>
        <w:t>Urinalysis:</w:t>
      </w:r>
    </w:p>
    <w:p w14:paraId="2306F7C5" w14:textId="2589B255" w:rsidR="00F44C9B" w:rsidRPr="00296541" w:rsidRDefault="00F44C9B" w:rsidP="00F44C9B">
      <w:pPr>
        <w:rPr>
          <w:rFonts w:asciiTheme="minorHAnsi" w:hAnsiTheme="minorHAnsi" w:cstheme="minorHAnsi"/>
        </w:rPr>
      </w:pPr>
      <w:r w:rsidRPr="00296541">
        <w:rPr>
          <w:rFonts w:asciiTheme="minorHAnsi" w:hAnsiTheme="minorHAnsi" w:cstheme="minorHAnsi"/>
        </w:rPr>
        <w:t>A positive Protein, Occult Blood, Leukocytes, or Nitrites is reflexed to a microscopic examination. When the color of the urine specimen is red, amber, or green or the specimen is turbid, a microscopic exam is also reflexed. If urine Dipstick Only is ordered, the microscopic exam is not performed for positive dipstick tests.</w:t>
      </w:r>
    </w:p>
    <w:p w14:paraId="75BFF0B2" w14:textId="77777777" w:rsidR="00F44C9B" w:rsidRPr="00296541" w:rsidRDefault="00F44C9B" w:rsidP="00F44C9B">
      <w:pPr>
        <w:rPr>
          <w:rFonts w:asciiTheme="minorHAnsi" w:hAnsiTheme="minorHAnsi" w:cstheme="minorHAnsi"/>
        </w:rPr>
      </w:pPr>
    </w:p>
    <w:p w14:paraId="5D5C0E91" w14:textId="2EB1CADB" w:rsidR="00F44C9B" w:rsidRPr="00296541" w:rsidRDefault="00F44C9B" w:rsidP="00F44C9B">
      <w:pPr>
        <w:rPr>
          <w:rFonts w:asciiTheme="minorHAnsi" w:hAnsiTheme="minorHAnsi" w:cstheme="minorHAnsi"/>
        </w:rPr>
      </w:pPr>
      <w:r w:rsidRPr="00296541">
        <w:rPr>
          <w:rFonts w:asciiTheme="minorHAnsi" w:hAnsiTheme="minorHAnsi" w:cstheme="minorHAnsi"/>
        </w:rPr>
        <w:t>Hematology:</w:t>
      </w:r>
    </w:p>
    <w:p w14:paraId="2FA7ADE3" w14:textId="5F81E542" w:rsidR="00F44C9B" w:rsidRPr="00296541" w:rsidRDefault="00F44C9B" w:rsidP="00F44C9B">
      <w:pPr>
        <w:rPr>
          <w:rFonts w:asciiTheme="minorHAnsi" w:hAnsiTheme="minorHAnsi" w:cstheme="minorHAnsi"/>
        </w:rPr>
      </w:pPr>
      <w:r w:rsidRPr="00296541">
        <w:rPr>
          <w:rFonts w:asciiTheme="minorHAnsi" w:hAnsiTheme="minorHAnsi" w:cstheme="minorHAnsi"/>
        </w:rPr>
        <w:t>A manual differential is done when instrument flagging indicates the need.</w:t>
      </w:r>
    </w:p>
    <w:p w14:paraId="7AE77C89" w14:textId="77777777" w:rsidR="00F44C9B" w:rsidRPr="00296541" w:rsidRDefault="00F44C9B" w:rsidP="00F44C9B">
      <w:pPr>
        <w:rPr>
          <w:rFonts w:asciiTheme="minorHAnsi" w:hAnsiTheme="minorHAnsi" w:cstheme="minorHAnsi"/>
        </w:rPr>
      </w:pPr>
    </w:p>
    <w:p w14:paraId="4EC6B5CE" w14:textId="3F7B67DE"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A Body Fluid or CSF Cell Count and Diff with large mononuclear cells </w:t>
      </w:r>
      <w:r w:rsidR="001C5543" w:rsidRPr="00296541">
        <w:rPr>
          <w:rFonts w:asciiTheme="minorHAnsi" w:hAnsiTheme="minorHAnsi" w:cstheme="minorHAnsi"/>
        </w:rPr>
        <w:t>present</w:t>
      </w:r>
      <w:r w:rsidRPr="00296541">
        <w:rPr>
          <w:rFonts w:asciiTheme="minorHAnsi" w:hAnsiTheme="minorHAnsi" w:cstheme="minorHAnsi"/>
        </w:rPr>
        <w:t xml:space="preserve"> reflexes to a pathologist review.</w:t>
      </w:r>
    </w:p>
    <w:p w14:paraId="570A936B" w14:textId="77777777" w:rsidR="00F44C9B" w:rsidRPr="00296541" w:rsidRDefault="00F44C9B" w:rsidP="00F44C9B">
      <w:pPr>
        <w:rPr>
          <w:rFonts w:asciiTheme="minorHAnsi" w:hAnsiTheme="minorHAnsi" w:cstheme="minorHAnsi"/>
        </w:rPr>
      </w:pPr>
    </w:p>
    <w:p w14:paraId="38397F98" w14:textId="1DA17B79" w:rsidR="00F44C9B" w:rsidRPr="00296541" w:rsidRDefault="00F44C9B" w:rsidP="00F44C9B">
      <w:pPr>
        <w:rPr>
          <w:rFonts w:asciiTheme="minorHAnsi" w:hAnsiTheme="minorHAnsi" w:cstheme="minorHAnsi"/>
        </w:rPr>
      </w:pPr>
      <w:r w:rsidRPr="00296541">
        <w:rPr>
          <w:rFonts w:asciiTheme="minorHAnsi" w:hAnsiTheme="minorHAnsi" w:cstheme="minorHAnsi"/>
        </w:rPr>
        <w:t>Immunology:</w:t>
      </w:r>
    </w:p>
    <w:p w14:paraId="10E0C94E" w14:textId="4BC64E21"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When Hepatitis A Total is positive the Hepatitis </w:t>
      </w:r>
      <w:proofErr w:type="gramStart"/>
      <w:r w:rsidRPr="00296541">
        <w:rPr>
          <w:rFonts w:asciiTheme="minorHAnsi" w:hAnsiTheme="minorHAnsi" w:cstheme="minorHAnsi"/>
        </w:rPr>
        <w:t>A</w:t>
      </w:r>
      <w:proofErr w:type="gramEnd"/>
      <w:r w:rsidRPr="00296541">
        <w:rPr>
          <w:rFonts w:asciiTheme="minorHAnsi" w:hAnsiTheme="minorHAnsi" w:cstheme="minorHAnsi"/>
        </w:rPr>
        <w:t xml:space="preserve"> IgM will be performed.  </w:t>
      </w:r>
    </w:p>
    <w:p w14:paraId="463B581E" w14:textId="77777777" w:rsidR="00F44C9B" w:rsidRPr="00296541" w:rsidRDefault="00F44C9B" w:rsidP="00F44C9B">
      <w:pPr>
        <w:rPr>
          <w:rFonts w:asciiTheme="minorHAnsi" w:hAnsiTheme="minorHAnsi" w:cstheme="minorHAnsi"/>
        </w:rPr>
      </w:pPr>
    </w:p>
    <w:p w14:paraId="1A977C12" w14:textId="2FF43253"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When ANA is positive an ANA titer will be performed. </w:t>
      </w:r>
    </w:p>
    <w:p w14:paraId="215545FB" w14:textId="77777777" w:rsidR="00F44C9B" w:rsidRPr="00296541" w:rsidRDefault="00F44C9B" w:rsidP="00F44C9B">
      <w:pPr>
        <w:rPr>
          <w:rFonts w:asciiTheme="minorHAnsi" w:hAnsiTheme="minorHAnsi" w:cstheme="minorHAnsi"/>
        </w:rPr>
      </w:pPr>
    </w:p>
    <w:p w14:paraId="34781026" w14:textId="77777777" w:rsidR="00296541" w:rsidRDefault="00F44C9B" w:rsidP="00F44C9B">
      <w:pPr>
        <w:rPr>
          <w:rFonts w:asciiTheme="minorHAnsi" w:hAnsiTheme="minorHAnsi" w:cstheme="minorHAnsi"/>
        </w:rPr>
      </w:pPr>
      <w:r w:rsidRPr="00296541">
        <w:rPr>
          <w:rFonts w:asciiTheme="minorHAnsi" w:hAnsiTheme="minorHAnsi" w:cstheme="minorHAnsi"/>
        </w:rPr>
        <w:t>When Hepatitis B Surface Antigen is reactive, a confirmation test will automatically be ordered.</w:t>
      </w:r>
    </w:p>
    <w:p w14:paraId="76F7B615" w14:textId="154FE104" w:rsidR="00F44C9B" w:rsidRPr="00296541" w:rsidRDefault="00F44C9B" w:rsidP="00F44C9B">
      <w:pPr>
        <w:rPr>
          <w:rFonts w:asciiTheme="minorHAnsi" w:hAnsiTheme="minorHAnsi" w:cstheme="minorHAnsi"/>
        </w:rPr>
      </w:pPr>
      <w:r w:rsidRPr="00296541">
        <w:rPr>
          <w:rFonts w:asciiTheme="minorHAnsi" w:hAnsiTheme="minorHAnsi" w:cstheme="minorHAnsi"/>
        </w:rPr>
        <w:lastRenderedPageBreak/>
        <w:t xml:space="preserve">Microbiology: </w:t>
      </w:r>
    </w:p>
    <w:p w14:paraId="18114BC7" w14:textId="19E60FDA" w:rsidR="00F44C9B" w:rsidRPr="00296541" w:rsidRDefault="00F44C9B" w:rsidP="00F44C9B">
      <w:pPr>
        <w:rPr>
          <w:rFonts w:asciiTheme="minorHAnsi" w:hAnsiTheme="minorHAnsi" w:cstheme="minorHAnsi"/>
        </w:rPr>
      </w:pPr>
      <w:r w:rsidRPr="00296541">
        <w:rPr>
          <w:rFonts w:asciiTheme="minorHAnsi" w:hAnsiTheme="minorHAnsi" w:cstheme="minorHAnsi"/>
        </w:rPr>
        <w:t>The following positive cultures reflex antibiotic susceptibility testing:</w:t>
      </w:r>
    </w:p>
    <w:p w14:paraId="3A035D48" w14:textId="77777777" w:rsidR="00F44C9B" w:rsidRPr="00296541" w:rsidRDefault="00F44C9B" w:rsidP="00F44C9B">
      <w:pPr>
        <w:rPr>
          <w:rFonts w:asciiTheme="minorHAnsi" w:hAnsiTheme="minorHAnsi" w:cstheme="minorHAnsi"/>
        </w:rPr>
      </w:pPr>
    </w:p>
    <w:p w14:paraId="6A94C66A" w14:textId="1675A338" w:rsidR="00F44C9B" w:rsidRPr="00296541" w:rsidRDefault="00F44C9B" w:rsidP="00F44C9B">
      <w:pPr>
        <w:rPr>
          <w:rFonts w:asciiTheme="minorHAnsi" w:hAnsiTheme="minorHAnsi" w:cstheme="minorHAnsi"/>
        </w:rPr>
      </w:pPr>
      <w:r w:rsidRPr="00296541">
        <w:rPr>
          <w:rFonts w:asciiTheme="minorHAnsi" w:hAnsiTheme="minorHAnsi" w:cstheme="minorHAnsi"/>
        </w:rPr>
        <w:t>Wound and fluid cultures growing small to large number of pathogens, a CSF culture with any growth, positive blood culture, urine culture with pathogenic growth, and respiratory cultures growing large number of pathogens.</w:t>
      </w:r>
    </w:p>
    <w:p w14:paraId="4440845C" w14:textId="77777777" w:rsidR="00F44C9B" w:rsidRPr="00296541" w:rsidRDefault="00F44C9B" w:rsidP="00F44C9B">
      <w:pPr>
        <w:rPr>
          <w:rFonts w:asciiTheme="minorHAnsi" w:hAnsiTheme="minorHAnsi" w:cstheme="minorHAnsi"/>
        </w:rPr>
      </w:pPr>
    </w:p>
    <w:p w14:paraId="688CC864" w14:textId="59704CD6" w:rsidR="00F44C9B" w:rsidRPr="00296541" w:rsidRDefault="00F44C9B" w:rsidP="00F44C9B">
      <w:pPr>
        <w:rPr>
          <w:rFonts w:asciiTheme="minorHAnsi" w:hAnsiTheme="minorHAnsi" w:cstheme="minorHAnsi"/>
        </w:rPr>
      </w:pPr>
      <w:r w:rsidRPr="00296541">
        <w:rPr>
          <w:rFonts w:asciiTheme="minorHAnsi" w:hAnsiTheme="minorHAnsi" w:cstheme="minorHAnsi"/>
        </w:rPr>
        <w:t>Wound, tissue, fluid, or sputum cultures reflexes a gram stain.</w:t>
      </w:r>
    </w:p>
    <w:p w14:paraId="5F624EA7" w14:textId="77777777" w:rsidR="00F44C9B" w:rsidRPr="00296541" w:rsidRDefault="00F44C9B" w:rsidP="00F44C9B">
      <w:pPr>
        <w:rPr>
          <w:rFonts w:asciiTheme="minorHAnsi" w:hAnsiTheme="minorHAnsi" w:cstheme="minorHAnsi"/>
        </w:rPr>
      </w:pPr>
    </w:p>
    <w:p w14:paraId="7BF09624" w14:textId="2E1E6701" w:rsidR="00F44C9B" w:rsidRPr="00296541" w:rsidRDefault="00F44C9B" w:rsidP="00F44C9B">
      <w:pPr>
        <w:rPr>
          <w:rFonts w:asciiTheme="minorHAnsi" w:hAnsiTheme="minorHAnsi" w:cstheme="minorHAnsi"/>
        </w:rPr>
      </w:pPr>
      <w:r w:rsidRPr="00296541">
        <w:rPr>
          <w:rFonts w:asciiTheme="minorHAnsi" w:hAnsiTheme="minorHAnsi" w:cstheme="minorHAnsi"/>
        </w:rPr>
        <w:t>A negative Strep screen reflexes to a Strep culture for patients under the age of 18.</w:t>
      </w:r>
    </w:p>
    <w:p w14:paraId="1BEF3891" w14:textId="77777777" w:rsidR="00F44C9B" w:rsidRPr="00296541" w:rsidRDefault="00F44C9B" w:rsidP="00F44C9B">
      <w:pPr>
        <w:rPr>
          <w:rFonts w:asciiTheme="minorHAnsi" w:hAnsiTheme="minorHAnsi" w:cstheme="minorHAnsi"/>
        </w:rPr>
      </w:pPr>
    </w:p>
    <w:p w14:paraId="57BCDFE8" w14:textId="7A22965C" w:rsidR="00F44C9B" w:rsidRPr="00296541" w:rsidRDefault="00F44C9B" w:rsidP="00F44C9B">
      <w:pPr>
        <w:rPr>
          <w:rFonts w:asciiTheme="minorHAnsi" w:hAnsiTheme="minorHAnsi" w:cstheme="minorHAnsi"/>
        </w:rPr>
      </w:pPr>
      <w:r w:rsidRPr="00296541">
        <w:rPr>
          <w:rFonts w:asciiTheme="minorHAnsi" w:hAnsiTheme="minorHAnsi" w:cstheme="minorHAnsi"/>
        </w:rPr>
        <w:t>All positive cultures (respiratory, wound, CSF, Blood, Fluids, Stool and Urines) will reflex antibiotic susceptibility testing.</w:t>
      </w:r>
    </w:p>
    <w:p w14:paraId="67B18537" w14:textId="77777777" w:rsidR="00F44C9B" w:rsidRPr="00296541" w:rsidRDefault="00F44C9B" w:rsidP="00F44C9B">
      <w:pPr>
        <w:rPr>
          <w:rFonts w:asciiTheme="minorHAnsi" w:hAnsiTheme="minorHAnsi" w:cstheme="minorHAnsi"/>
        </w:rPr>
      </w:pPr>
    </w:p>
    <w:p w14:paraId="03E6B8CD" w14:textId="4359D0F1" w:rsidR="00F44C9B" w:rsidRPr="00296541" w:rsidRDefault="00F44C9B" w:rsidP="00F44C9B">
      <w:pPr>
        <w:rPr>
          <w:rFonts w:asciiTheme="minorHAnsi" w:hAnsiTheme="minorHAnsi" w:cstheme="minorHAnsi"/>
        </w:rPr>
      </w:pPr>
      <w:r w:rsidRPr="00296541">
        <w:rPr>
          <w:rFonts w:asciiTheme="minorHAnsi" w:hAnsiTheme="minorHAnsi" w:cstheme="minorHAnsi"/>
        </w:rPr>
        <w:t>Bone marrow cultures include a Bone Marrow Culture (BMC), Bone Marrow - AFB (BMA), and Bone Marrow - Fungal (BMF)</w:t>
      </w:r>
    </w:p>
    <w:p w14:paraId="4ACEAF8F" w14:textId="77777777" w:rsidR="00F44C9B" w:rsidRPr="00296541" w:rsidRDefault="00F44C9B" w:rsidP="00F44C9B">
      <w:pPr>
        <w:rPr>
          <w:rFonts w:asciiTheme="minorHAnsi" w:hAnsiTheme="minorHAnsi" w:cstheme="minorHAnsi"/>
        </w:rPr>
      </w:pPr>
    </w:p>
    <w:p w14:paraId="454C4B11" w14:textId="20507CC1" w:rsidR="00F44C9B" w:rsidRPr="00296541" w:rsidRDefault="00F44C9B" w:rsidP="00F44C9B">
      <w:pPr>
        <w:rPr>
          <w:rFonts w:asciiTheme="minorHAnsi" w:hAnsiTheme="minorHAnsi" w:cstheme="minorHAnsi"/>
        </w:rPr>
      </w:pPr>
      <w:r w:rsidRPr="00296541">
        <w:rPr>
          <w:rFonts w:asciiTheme="minorHAnsi" w:hAnsiTheme="minorHAnsi" w:cstheme="minorHAnsi"/>
        </w:rPr>
        <w:t xml:space="preserve">A positive </w:t>
      </w:r>
      <w:proofErr w:type="spellStart"/>
      <w:proofErr w:type="gramStart"/>
      <w:r w:rsidRPr="00296541">
        <w:rPr>
          <w:rFonts w:asciiTheme="minorHAnsi" w:hAnsiTheme="minorHAnsi" w:cstheme="minorHAnsi"/>
        </w:rPr>
        <w:t>C.diff</w:t>
      </w:r>
      <w:proofErr w:type="spellEnd"/>
      <w:proofErr w:type="gramEnd"/>
      <w:r w:rsidRPr="00296541">
        <w:rPr>
          <w:rFonts w:asciiTheme="minorHAnsi" w:hAnsiTheme="minorHAnsi" w:cstheme="minorHAnsi"/>
        </w:rPr>
        <w:t xml:space="preserve"> antigen/negative C. diff toxin will reflex a </w:t>
      </w:r>
      <w:proofErr w:type="spellStart"/>
      <w:r w:rsidRPr="00296541">
        <w:rPr>
          <w:rFonts w:asciiTheme="minorHAnsi" w:hAnsiTheme="minorHAnsi" w:cstheme="minorHAnsi"/>
        </w:rPr>
        <w:t>C.diff</w:t>
      </w:r>
      <w:proofErr w:type="spellEnd"/>
      <w:r w:rsidRPr="00296541">
        <w:rPr>
          <w:rFonts w:asciiTheme="minorHAnsi" w:hAnsiTheme="minorHAnsi" w:cstheme="minorHAnsi"/>
        </w:rPr>
        <w:t xml:space="preserve"> PCR.</w:t>
      </w:r>
    </w:p>
    <w:p w14:paraId="7404ADA2" w14:textId="77777777" w:rsidR="00F44C9B" w:rsidRPr="00296541" w:rsidRDefault="00F44C9B" w:rsidP="00F44C9B">
      <w:pPr>
        <w:rPr>
          <w:rFonts w:asciiTheme="minorHAnsi" w:hAnsiTheme="minorHAnsi" w:cstheme="minorHAnsi"/>
        </w:rPr>
      </w:pPr>
    </w:p>
    <w:p w14:paraId="1AE8A6AA" w14:textId="5182D16D" w:rsidR="00F44C9B" w:rsidRDefault="00F44C9B" w:rsidP="00F44C9B">
      <w:pPr>
        <w:rPr>
          <w:rFonts w:asciiTheme="minorHAnsi" w:hAnsiTheme="minorHAnsi" w:cstheme="minorHAnsi"/>
        </w:rPr>
      </w:pPr>
      <w:r w:rsidRPr="00296541">
        <w:rPr>
          <w:rFonts w:asciiTheme="minorHAnsi" w:hAnsiTheme="minorHAnsi" w:cstheme="minorHAnsi"/>
        </w:rPr>
        <w:t>A positive Cryptococcal Antigen will reflex a Cryptococcal Antigen Titer.</w:t>
      </w:r>
    </w:p>
    <w:p w14:paraId="22A91F70" w14:textId="4D27C130" w:rsidR="007F0816" w:rsidRDefault="007F0816" w:rsidP="00F44C9B">
      <w:pPr>
        <w:rPr>
          <w:rFonts w:asciiTheme="minorHAnsi" w:hAnsiTheme="minorHAnsi" w:cstheme="minorHAnsi"/>
        </w:rPr>
      </w:pPr>
    </w:p>
    <w:p w14:paraId="092B1C71" w14:textId="0BB55C52" w:rsidR="007F0816" w:rsidRPr="00296541" w:rsidRDefault="007F0816" w:rsidP="00F44C9B">
      <w:pPr>
        <w:rPr>
          <w:rFonts w:asciiTheme="minorHAnsi" w:hAnsiTheme="minorHAnsi" w:cstheme="minorHAnsi"/>
        </w:rPr>
      </w:pPr>
      <w:r>
        <w:rPr>
          <w:rFonts w:asciiTheme="minorHAnsi" w:hAnsiTheme="minorHAnsi" w:cstheme="minorHAnsi"/>
        </w:rPr>
        <w:t xml:space="preserve">A positive HPV will reflex </w:t>
      </w:r>
      <w:r w:rsidR="00583805" w:rsidRPr="00583805">
        <w:rPr>
          <w:rFonts w:asciiTheme="minorHAnsi" w:hAnsiTheme="minorHAnsi" w:cstheme="minorHAnsi"/>
        </w:rPr>
        <w:t>HPV 16 18/45 Genotype Assay</w:t>
      </w:r>
      <w:r>
        <w:rPr>
          <w:rFonts w:asciiTheme="minorHAnsi" w:hAnsiTheme="minorHAnsi" w:cstheme="minorHAnsi"/>
        </w:rPr>
        <w:t>.</w:t>
      </w:r>
    </w:p>
    <w:p w14:paraId="1FCA7C5A" w14:textId="77777777" w:rsidR="00F44C9B" w:rsidRPr="00296541" w:rsidRDefault="00F44C9B" w:rsidP="00F44C9B">
      <w:pPr>
        <w:rPr>
          <w:rFonts w:asciiTheme="minorHAnsi" w:hAnsiTheme="minorHAnsi" w:cstheme="minorHAnsi"/>
        </w:rPr>
      </w:pPr>
    </w:p>
    <w:p w14:paraId="6A4E9947" w14:textId="7CC5A63C" w:rsidR="00F44C9B" w:rsidRPr="00296541" w:rsidRDefault="00F44C9B" w:rsidP="00F44C9B">
      <w:pPr>
        <w:rPr>
          <w:rFonts w:asciiTheme="minorHAnsi" w:hAnsiTheme="minorHAnsi" w:cstheme="minorHAnsi"/>
        </w:rPr>
      </w:pPr>
      <w:r w:rsidRPr="00296541">
        <w:rPr>
          <w:rFonts w:asciiTheme="minorHAnsi" w:hAnsiTheme="minorHAnsi" w:cstheme="minorHAnsi"/>
        </w:rPr>
        <w:t>Specimens submitted for pathology review</w:t>
      </w:r>
      <w:r w:rsidR="00296541">
        <w:rPr>
          <w:rFonts w:asciiTheme="minorHAnsi" w:hAnsiTheme="minorHAnsi" w:cstheme="minorHAnsi"/>
        </w:rPr>
        <w:t>:</w:t>
      </w:r>
    </w:p>
    <w:p w14:paraId="645B2A9B" w14:textId="2B7F8CAD" w:rsidR="00F44C9B" w:rsidRPr="00296541" w:rsidRDefault="00F44C9B" w:rsidP="00F44C9B">
      <w:pPr>
        <w:rPr>
          <w:rFonts w:asciiTheme="minorHAnsi" w:hAnsiTheme="minorHAnsi" w:cstheme="minorHAnsi"/>
        </w:rPr>
      </w:pPr>
      <w:r w:rsidRPr="00296541">
        <w:rPr>
          <w:rFonts w:asciiTheme="minorHAnsi" w:hAnsiTheme="minorHAnsi" w:cstheme="minorHAnsi"/>
        </w:rPr>
        <w:t>Surgical specimens submitted for pathology review will be processed and evaluated with the use of routine macroscopic and microscopic techniques, and, when applicable and medically necessary, special/ancillary stains or other diagnostic laboratory studies performed on the specimen.  The utilization of any special/ancillary stains or other diagnostic studies are at the discretion of the pathologist responsible for the diagnostic assessment and will be used to establish an accurate and complete diagnosis.  Microscopic examination is with very rare exception required for all tissue specimens submitted, unless specifically exempted according to Gundersen Health System policy Lab-2500</w:t>
      </w:r>
      <w:r w:rsidR="00A376B4">
        <w:rPr>
          <w:rFonts w:asciiTheme="minorHAnsi" w:hAnsiTheme="minorHAnsi" w:cstheme="minorHAnsi"/>
        </w:rPr>
        <w:t xml:space="preserve"> </w:t>
      </w:r>
      <w:hyperlink r:id="rId10" w:history="1">
        <w:r w:rsidR="00A376B4" w:rsidRPr="00BB7F77">
          <w:rPr>
            <w:rStyle w:val="Hyperlink"/>
            <w:rFonts w:asciiTheme="minorHAnsi" w:hAnsiTheme="minorHAnsi" w:cstheme="minorHAnsi"/>
          </w:rPr>
          <w:t>https://gndrsn-gundersen.policystat.com/policy/12420243/latest</w:t>
        </w:r>
      </w:hyperlink>
      <w:r w:rsidR="00A376B4">
        <w:rPr>
          <w:rFonts w:asciiTheme="minorHAnsi" w:hAnsiTheme="minorHAnsi" w:cstheme="minorHAnsi"/>
        </w:rPr>
        <w:t xml:space="preserve"> </w:t>
      </w:r>
      <w:r w:rsidRPr="00296541">
        <w:rPr>
          <w:rFonts w:asciiTheme="minorHAnsi" w:hAnsiTheme="minorHAnsi" w:cstheme="minorHAnsi"/>
        </w:rPr>
        <w:t xml:space="preserve">If a submitting provider wishes to limit or otherwise restrict the use of special/ancillary stains or other diagnostic studies on a particular specimen submitted to the laboratory for pathologic evaluation, this request should be made in writing and should accompany the specimen upon its submission to the pathology department. </w:t>
      </w:r>
    </w:p>
    <w:p w14:paraId="4C58B530" w14:textId="77777777" w:rsidR="00F44C9B" w:rsidRPr="00296541" w:rsidRDefault="00F44C9B" w:rsidP="00F44C9B">
      <w:pPr>
        <w:rPr>
          <w:rFonts w:asciiTheme="minorHAnsi" w:hAnsiTheme="minorHAnsi" w:cstheme="minorHAnsi"/>
          <w:b/>
          <w:u w:val="single"/>
        </w:rPr>
      </w:pPr>
    </w:p>
    <w:p w14:paraId="523B3269" w14:textId="476ADF14" w:rsidR="00296541" w:rsidRDefault="00296541">
      <w:pPr>
        <w:rPr>
          <w:rFonts w:asciiTheme="minorHAnsi" w:hAnsiTheme="minorHAnsi" w:cstheme="minorHAnsi"/>
          <w:b/>
          <w:u w:val="single"/>
        </w:rPr>
      </w:pPr>
      <w:r>
        <w:rPr>
          <w:rFonts w:asciiTheme="minorHAnsi" w:hAnsiTheme="minorHAnsi" w:cstheme="minorHAnsi"/>
          <w:b/>
          <w:u w:val="single"/>
        </w:rPr>
        <w:br w:type="page"/>
      </w:r>
      <w:r>
        <w:rPr>
          <w:rFonts w:asciiTheme="minorHAnsi" w:hAnsiTheme="minorHAnsi" w:cstheme="minorHAnsi"/>
          <w:b/>
          <w:noProof/>
          <w:u w:val="single"/>
        </w:rPr>
        <w:lastRenderedPageBreak/>
        <mc:AlternateContent>
          <mc:Choice Requires="wps">
            <w:drawing>
              <wp:anchor distT="0" distB="0" distL="114300" distR="114300" simplePos="0" relativeHeight="251659264" behindDoc="0" locked="0" layoutInCell="1" allowOverlap="1" wp14:anchorId="69FCEB17" wp14:editId="0399F2AF">
                <wp:simplePos x="0" y="0"/>
                <wp:positionH relativeFrom="margin">
                  <wp:align>left</wp:align>
                </wp:positionH>
                <wp:positionV relativeFrom="paragraph">
                  <wp:posOffset>222250</wp:posOffset>
                </wp:positionV>
                <wp:extent cx="5934075" cy="6753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34075" cy="6753225"/>
                        </a:xfrm>
                        <a:prstGeom prst="rect">
                          <a:avLst/>
                        </a:prstGeom>
                        <a:noFill/>
                        <a:ln w="6350">
                          <a:noFill/>
                        </a:ln>
                      </wps:spPr>
                      <wps:txbx>
                        <w:txbxContent>
                          <w:p w14:paraId="42BE80F8" w14:textId="77777777" w:rsidR="00296541" w:rsidRPr="00296541" w:rsidRDefault="00296541" w:rsidP="00296541">
                            <w:pPr>
                              <w:rPr>
                                <w:rFonts w:asciiTheme="minorHAnsi" w:hAnsiTheme="minorHAnsi" w:cstheme="minorHAnsi"/>
                                <w:b/>
                                <w:u w:val="single"/>
                              </w:rPr>
                            </w:pPr>
                            <w:r w:rsidRPr="00296541">
                              <w:rPr>
                                <w:rFonts w:asciiTheme="minorHAnsi" w:hAnsiTheme="minorHAnsi" w:cstheme="minorHAnsi"/>
                                <w:b/>
                                <w:u w:val="single"/>
                              </w:rPr>
                              <w:t>Consultants</w:t>
                            </w:r>
                          </w:p>
                          <w:p w14:paraId="216694F2" w14:textId="77777777" w:rsidR="00296541" w:rsidRPr="00296541" w:rsidRDefault="00296541" w:rsidP="00296541">
                            <w:pPr>
                              <w:rPr>
                                <w:rFonts w:asciiTheme="minorHAnsi" w:hAnsiTheme="minorHAnsi" w:cstheme="minorHAnsi"/>
                              </w:rPr>
                            </w:pPr>
                          </w:p>
                          <w:p w14:paraId="776CBC23" w14:textId="7EA78014" w:rsidR="00296541" w:rsidRDefault="00296541" w:rsidP="00296541">
                            <w:pPr>
                              <w:rPr>
                                <w:rFonts w:asciiTheme="minorHAnsi" w:hAnsiTheme="minorHAnsi" w:cstheme="minorHAnsi"/>
                              </w:rPr>
                            </w:pPr>
                            <w:r w:rsidRPr="00296541">
                              <w:rPr>
                                <w:rFonts w:asciiTheme="minorHAnsi" w:hAnsiTheme="minorHAnsi" w:cstheme="minorHAnsi"/>
                              </w:rPr>
                              <w:t xml:space="preserve">Gundersen Health System laboratory makes the following consultants available to Gundersen Palmer Lutheran Hospital and Clinics providers to discuss appropriate testing, test ordering, and test interpretation: </w:t>
                            </w:r>
                          </w:p>
                          <w:p w14:paraId="7AE96D68" w14:textId="77777777" w:rsidR="00296541" w:rsidRPr="00296541" w:rsidRDefault="00296541" w:rsidP="00296541">
                            <w:pPr>
                              <w:rPr>
                                <w:rFonts w:asciiTheme="minorHAnsi" w:hAnsiTheme="minorHAnsi" w:cstheme="minorHAnsi"/>
                              </w:rPr>
                            </w:pPr>
                          </w:p>
                          <w:p w14:paraId="217A7BB5"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(608) 782-7300 or (800) 362-9567</w:t>
                            </w:r>
                          </w:p>
                          <w:p w14:paraId="72E8A54B" w14:textId="77777777" w:rsidR="00296541" w:rsidRPr="00296541" w:rsidRDefault="00296541" w:rsidP="00296541">
                            <w:pPr>
                              <w:rPr>
                                <w:rFonts w:asciiTheme="minorHAnsi" w:hAnsiTheme="minorHAnsi" w:cstheme="minorHAnsi"/>
                              </w:rPr>
                            </w:pPr>
                          </w:p>
                          <w:p w14:paraId="621A2694" w14:textId="78DA4A54" w:rsidR="00296541" w:rsidRDefault="00296541" w:rsidP="00296541">
                            <w:pPr>
                              <w:rPr>
                                <w:rFonts w:asciiTheme="minorHAnsi" w:hAnsiTheme="minorHAnsi" w:cstheme="minorHAnsi"/>
                              </w:rPr>
                            </w:pPr>
                            <w:r w:rsidRPr="00296541">
                              <w:rPr>
                                <w:rFonts w:asciiTheme="minorHAnsi" w:hAnsiTheme="minorHAnsi" w:cstheme="minorHAnsi"/>
                              </w:rPr>
                              <w:t>Daniel Schraith MD, Extension 52701</w:t>
                            </w:r>
                          </w:p>
                          <w:p w14:paraId="6962641C" w14:textId="77777777" w:rsidR="00296541" w:rsidRDefault="00296541" w:rsidP="00296541">
                            <w:pPr>
                              <w:rPr>
                                <w:rFonts w:asciiTheme="minorHAnsi" w:hAnsiTheme="minorHAnsi" w:cstheme="minorHAnsi"/>
                              </w:rPr>
                            </w:pPr>
                          </w:p>
                          <w:p w14:paraId="2046F12E"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Wayne Bottner MD, Extension 52208</w:t>
                            </w:r>
                          </w:p>
                          <w:p w14:paraId="5C9F3D63" w14:textId="77777777" w:rsidR="00296541" w:rsidRPr="00296541" w:rsidRDefault="00296541" w:rsidP="00296541">
                            <w:pPr>
                              <w:rPr>
                                <w:rFonts w:asciiTheme="minorHAnsi" w:hAnsiTheme="minorHAnsi" w:cstheme="minorHAnsi"/>
                              </w:rPr>
                            </w:pPr>
                          </w:p>
                          <w:p w14:paraId="6402EA56"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Sean Agger PhD, Extension 50410</w:t>
                            </w:r>
                          </w:p>
                          <w:p w14:paraId="5EE4CA3E" w14:textId="77777777" w:rsidR="00296541" w:rsidRPr="00296541" w:rsidRDefault="00296541" w:rsidP="00296541">
                            <w:pPr>
                              <w:rPr>
                                <w:rFonts w:asciiTheme="minorHAnsi" w:hAnsiTheme="minorHAnsi" w:cstheme="minorHAnsi"/>
                              </w:rPr>
                            </w:pPr>
                          </w:p>
                          <w:p w14:paraId="0A2FA709"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Richard Wittchow MD, Extension 52709</w:t>
                            </w:r>
                          </w:p>
                          <w:p w14:paraId="6127B712" w14:textId="77777777" w:rsidR="00296541" w:rsidRPr="00296541" w:rsidRDefault="00296541" w:rsidP="00296541">
                            <w:pPr>
                              <w:rPr>
                                <w:rFonts w:asciiTheme="minorHAnsi" w:hAnsiTheme="minorHAnsi" w:cstheme="minorHAnsi"/>
                              </w:rPr>
                            </w:pPr>
                          </w:p>
                          <w:p w14:paraId="4BA70D39"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 xml:space="preserve">Gordon Zeng MD, Extension 52262 </w:t>
                            </w:r>
                          </w:p>
                          <w:p w14:paraId="62B31BD2" w14:textId="77777777" w:rsidR="00296541" w:rsidRPr="00296541" w:rsidRDefault="00296541" w:rsidP="00296541">
                            <w:pPr>
                              <w:rPr>
                                <w:rFonts w:asciiTheme="minorHAnsi" w:hAnsiTheme="minorHAnsi" w:cstheme="minorHAnsi"/>
                              </w:rPr>
                            </w:pPr>
                          </w:p>
                          <w:p w14:paraId="0C3F3882"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Sarah Hughes MD, Extension 52640</w:t>
                            </w:r>
                          </w:p>
                          <w:p w14:paraId="7067984F" w14:textId="77777777" w:rsidR="00296541" w:rsidRPr="00296541" w:rsidRDefault="00296541" w:rsidP="00296541">
                            <w:pPr>
                              <w:rPr>
                                <w:rFonts w:asciiTheme="minorHAnsi" w:hAnsiTheme="minorHAnsi" w:cstheme="minorHAnsi"/>
                              </w:rPr>
                            </w:pPr>
                          </w:p>
                          <w:p w14:paraId="514AFAAC"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Grzegorz Gurda MD, Extension 52107</w:t>
                            </w:r>
                          </w:p>
                          <w:p w14:paraId="447F6895" w14:textId="77777777" w:rsidR="00296541" w:rsidRPr="00296541" w:rsidRDefault="00296541" w:rsidP="00296541">
                            <w:pPr>
                              <w:rPr>
                                <w:rFonts w:asciiTheme="minorHAnsi" w:hAnsiTheme="minorHAnsi" w:cstheme="minorHAnsi"/>
                              </w:rPr>
                            </w:pPr>
                          </w:p>
                          <w:p w14:paraId="66DBFCA2"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Christopher Cogbill MD, Extension 54612</w:t>
                            </w:r>
                          </w:p>
                          <w:p w14:paraId="2077D142" w14:textId="77777777" w:rsidR="00296541" w:rsidRPr="00296541" w:rsidRDefault="00296541" w:rsidP="00296541">
                            <w:pPr>
                              <w:rPr>
                                <w:rFonts w:asciiTheme="minorHAnsi" w:hAnsiTheme="minorHAnsi" w:cstheme="minorHAnsi"/>
                              </w:rPr>
                            </w:pPr>
                          </w:p>
                          <w:p w14:paraId="2FA394DD"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Stephan Brettfeld DO, Extension 52820</w:t>
                            </w:r>
                          </w:p>
                          <w:p w14:paraId="3192AB7E" w14:textId="77777777" w:rsidR="00296541" w:rsidRPr="00296541" w:rsidRDefault="00296541" w:rsidP="00296541">
                            <w:pPr>
                              <w:rPr>
                                <w:rFonts w:asciiTheme="minorHAnsi" w:hAnsiTheme="minorHAnsi" w:cstheme="minorHAnsi"/>
                              </w:rPr>
                            </w:pPr>
                          </w:p>
                          <w:p w14:paraId="62C9C601"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 xml:space="preserve">Arick Sabin DO, Extension 52817 </w:t>
                            </w:r>
                          </w:p>
                          <w:p w14:paraId="71BE0E45" w14:textId="77777777" w:rsidR="00296541" w:rsidRPr="00296541" w:rsidRDefault="00296541" w:rsidP="00296541">
                            <w:pPr>
                              <w:rPr>
                                <w:rFonts w:asciiTheme="minorHAnsi" w:hAnsiTheme="minorHAnsi" w:cstheme="minorHAnsi"/>
                              </w:rPr>
                            </w:pPr>
                          </w:p>
                          <w:p w14:paraId="23365B37" w14:textId="2CBF6DB4" w:rsidR="00296541" w:rsidRDefault="00296541" w:rsidP="00296541">
                            <w:pPr>
                              <w:rPr>
                                <w:rFonts w:asciiTheme="minorHAnsi" w:hAnsiTheme="minorHAnsi" w:cstheme="minorHAnsi"/>
                              </w:rPr>
                            </w:pPr>
                            <w:r w:rsidRPr="00296541">
                              <w:rPr>
                                <w:rFonts w:asciiTheme="minorHAnsi" w:hAnsiTheme="minorHAnsi" w:cstheme="minorHAnsi"/>
                              </w:rPr>
                              <w:t>Stephen Bloechl MD, Extension 59645</w:t>
                            </w:r>
                          </w:p>
                          <w:p w14:paraId="46E0602B" w14:textId="28D619EE" w:rsidR="007F0816" w:rsidRDefault="007F0816" w:rsidP="00296541">
                            <w:pPr>
                              <w:rPr>
                                <w:rFonts w:asciiTheme="minorHAnsi" w:hAnsiTheme="minorHAnsi" w:cstheme="minorHAnsi"/>
                              </w:rPr>
                            </w:pPr>
                          </w:p>
                          <w:p w14:paraId="38AD7DCD" w14:textId="14CA534F" w:rsidR="007F0816" w:rsidRDefault="007F0816" w:rsidP="00296541">
                            <w:pPr>
                              <w:rPr>
                                <w:rFonts w:asciiTheme="minorHAnsi" w:hAnsiTheme="minorHAnsi" w:cstheme="minorHAnsi"/>
                              </w:rPr>
                            </w:pPr>
                            <w:r>
                              <w:rPr>
                                <w:rFonts w:asciiTheme="minorHAnsi" w:hAnsiTheme="minorHAnsi" w:cstheme="minorHAnsi"/>
                              </w:rPr>
                              <w:t>Lacey Schrader, MD, Extension 56477</w:t>
                            </w:r>
                          </w:p>
                          <w:p w14:paraId="30EACA5A" w14:textId="3A61B191" w:rsidR="00330AAF" w:rsidRDefault="00330AAF" w:rsidP="00296541">
                            <w:pPr>
                              <w:rPr>
                                <w:rFonts w:asciiTheme="minorHAnsi" w:hAnsiTheme="minorHAnsi" w:cstheme="minorHAnsi"/>
                              </w:rPr>
                            </w:pPr>
                          </w:p>
                          <w:p w14:paraId="5F0580B1" w14:textId="3C353F1C" w:rsidR="00330AAF" w:rsidRPr="00B6107B" w:rsidRDefault="00330AAF" w:rsidP="00330AAF">
                            <w:pPr>
                              <w:rPr>
                                <w:rFonts w:asciiTheme="minorHAnsi" w:hAnsiTheme="minorHAnsi" w:cstheme="minorHAnsi"/>
                              </w:rPr>
                            </w:pPr>
                            <w:r w:rsidRPr="00B6107B">
                              <w:rPr>
                                <w:rFonts w:asciiTheme="minorHAnsi" w:hAnsiTheme="minorHAnsi" w:cstheme="minorHAnsi"/>
                              </w:rPr>
                              <w:t>Rasleen Saluja, MD, Extension 50381</w:t>
                            </w:r>
                          </w:p>
                          <w:p w14:paraId="61C2DE86" w14:textId="77777777" w:rsidR="00330AAF" w:rsidRPr="00B6107B" w:rsidRDefault="00330AAF" w:rsidP="00330AAF">
                            <w:pPr>
                              <w:rPr>
                                <w:rFonts w:asciiTheme="minorHAnsi" w:hAnsiTheme="minorHAnsi" w:cstheme="minorHAnsi"/>
                              </w:rPr>
                            </w:pPr>
                          </w:p>
                          <w:p w14:paraId="7126EF59" w14:textId="75B37554" w:rsidR="00330AAF" w:rsidRPr="00B6107B" w:rsidRDefault="00330AAF" w:rsidP="00330AAF">
                            <w:pPr>
                              <w:rPr>
                                <w:rFonts w:asciiTheme="minorHAnsi" w:hAnsiTheme="minorHAnsi" w:cstheme="minorHAnsi"/>
                                <w:sz w:val="22"/>
                                <w:szCs w:val="22"/>
                              </w:rPr>
                            </w:pPr>
                            <w:r w:rsidRPr="00B6107B">
                              <w:rPr>
                                <w:rFonts w:asciiTheme="minorHAnsi" w:hAnsiTheme="minorHAnsi" w:cstheme="minorHAnsi"/>
                              </w:rPr>
                              <w:t>Janet Torkelson, RN, NP, Extension 52139</w:t>
                            </w:r>
                          </w:p>
                          <w:p w14:paraId="50E5DD78" w14:textId="77777777" w:rsidR="00330AAF" w:rsidRPr="00296541" w:rsidRDefault="00330AAF" w:rsidP="00296541">
                            <w:pPr>
                              <w:rPr>
                                <w:rFonts w:asciiTheme="minorHAnsi" w:hAnsiTheme="minorHAnsi" w:cstheme="minorHAnsi"/>
                              </w:rPr>
                            </w:pPr>
                          </w:p>
                          <w:p w14:paraId="7756010D" w14:textId="77777777" w:rsidR="00296541" w:rsidRPr="00296541" w:rsidRDefault="00296541" w:rsidP="00296541">
                            <w:pPr>
                              <w:rPr>
                                <w:rFonts w:asciiTheme="minorHAnsi" w:hAnsiTheme="minorHAnsi" w:cstheme="minorHAnsi"/>
                              </w:rPr>
                            </w:pPr>
                          </w:p>
                          <w:p w14:paraId="2ADB1F8B" w14:textId="77777777" w:rsidR="00296541" w:rsidRDefault="0029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CEB17" id="_x0000_t202" coordsize="21600,21600" o:spt="202" path="m,l,21600r21600,l21600,xe">
                <v:stroke joinstyle="miter"/>
                <v:path gradientshapeok="t" o:connecttype="rect"/>
              </v:shapetype>
              <v:shape id="Text Box 3" o:spid="_x0000_s1026" type="#_x0000_t202" style="position:absolute;margin-left:0;margin-top:17.5pt;width:467.25pt;height:53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" filled="f" stroked="f" strokeweight=".5pt">
                <v:textbox>
                  <w:txbxContent>
                    <w:p w14:paraId="42BE80F8" w14:textId="77777777" w:rsidR="00296541" w:rsidRPr="00296541" w:rsidRDefault="00296541" w:rsidP="00296541">
                      <w:pPr>
                        <w:rPr>
                          <w:rFonts w:asciiTheme="minorHAnsi" w:hAnsiTheme="minorHAnsi" w:cstheme="minorHAnsi"/>
                          <w:b/>
                          <w:u w:val="single"/>
                        </w:rPr>
                      </w:pPr>
                      <w:r w:rsidRPr="00296541">
                        <w:rPr>
                          <w:rFonts w:asciiTheme="minorHAnsi" w:hAnsiTheme="minorHAnsi" w:cstheme="minorHAnsi"/>
                          <w:b/>
                          <w:u w:val="single"/>
                        </w:rPr>
                        <w:t>Consultants</w:t>
                      </w:r>
                    </w:p>
                    <w:p w14:paraId="216694F2" w14:textId="77777777" w:rsidR="00296541" w:rsidRPr="00296541" w:rsidRDefault="00296541" w:rsidP="00296541">
                      <w:pPr>
                        <w:rPr>
                          <w:rFonts w:asciiTheme="minorHAnsi" w:hAnsiTheme="minorHAnsi" w:cstheme="minorHAnsi"/>
                        </w:rPr>
                      </w:pPr>
                    </w:p>
                    <w:p w14:paraId="776CBC23" w14:textId="7EA78014" w:rsidR="00296541" w:rsidRDefault="00296541" w:rsidP="00296541">
                      <w:pPr>
                        <w:rPr>
                          <w:rFonts w:asciiTheme="minorHAnsi" w:hAnsiTheme="minorHAnsi" w:cstheme="minorHAnsi"/>
                        </w:rPr>
                      </w:pPr>
                      <w:r w:rsidRPr="00296541">
                        <w:rPr>
                          <w:rFonts w:asciiTheme="minorHAnsi" w:hAnsiTheme="minorHAnsi" w:cstheme="minorHAnsi"/>
                        </w:rPr>
                        <w:t xml:space="preserve">Gundersen Health System laboratory makes the following consultants available to Gundersen Palmer Lutheran Hospital and Clinics providers to discuss appropriate testing, test ordering, and test interpretation: </w:t>
                      </w:r>
                    </w:p>
                    <w:p w14:paraId="7AE96D68" w14:textId="77777777" w:rsidR="00296541" w:rsidRPr="00296541" w:rsidRDefault="00296541" w:rsidP="00296541">
                      <w:pPr>
                        <w:rPr>
                          <w:rFonts w:asciiTheme="minorHAnsi" w:hAnsiTheme="minorHAnsi" w:cstheme="minorHAnsi"/>
                        </w:rPr>
                      </w:pPr>
                    </w:p>
                    <w:p w14:paraId="217A7BB5"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(608) 782-7300 or (800) 362-9567</w:t>
                      </w:r>
                    </w:p>
                    <w:p w14:paraId="72E8A54B" w14:textId="77777777" w:rsidR="00296541" w:rsidRPr="00296541" w:rsidRDefault="00296541" w:rsidP="00296541">
                      <w:pPr>
                        <w:rPr>
                          <w:rFonts w:asciiTheme="minorHAnsi" w:hAnsiTheme="minorHAnsi" w:cstheme="minorHAnsi"/>
                        </w:rPr>
                      </w:pPr>
                    </w:p>
                    <w:p w14:paraId="621A2694" w14:textId="78DA4A54" w:rsidR="00296541" w:rsidRDefault="00296541" w:rsidP="00296541">
                      <w:pPr>
                        <w:rPr>
                          <w:rFonts w:asciiTheme="minorHAnsi" w:hAnsiTheme="minorHAnsi" w:cstheme="minorHAnsi"/>
                        </w:rPr>
                      </w:pPr>
                      <w:r w:rsidRPr="00296541">
                        <w:rPr>
                          <w:rFonts w:asciiTheme="minorHAnsi" w:hAnsiTheme="minorHAnsi" w:cstheme="minorHAnsi"/>
                        </w:rPr>
                        <w:t>Daniel Schraith MD, Extension 52701</w:t>
                      </w:r>
                    </w:p>
                    <w:p w14:paraId="6962641C" w14:textId="77777777" w:rsidR="00296541" w:rsidRDefault="00296541" w:rsidP="00296541">
                      <w:pPr>
                        <w:rPr>
                          <w:rFonts w:asciiTheme="minorHAnsi" w:hAnsiTheme="minorHAnsi" w:cstheme="minorHAnsi"/>
                        </w:rPr>
                      </w:pPr>
                    </w:p>
                    <w:p w14:paraId="2046F12E"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Wayne Bottner MD, Extension 52208</w:t>
                      </w:r>
                    </w:p>
                    <w:p w14:paraId="5C9F3D63" w14:textId="77777777" w:rsidR="00296541" w:rsidRPr="00296541" w:rsidRDefault="00296541" w:rsidP="00296541">
                      <w:pPr>
                        <w:rPr>
                          <w:rFonts w:asciiTheme="minorHAnsi" w:hAnsiTheme="minorHAnsi" w:cstheme="minorHAnsi"/>
                        </w:rPr>
                      </w:pPr>
                    </w:p>
                    <w:p w14:paraId="6402EA56"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Sean Agger PhD, Extension 50410</w:t>
                      </w:r>
                    </w:p>
                    <w:p w14:paraId="5EE4CA3E" w14:textId="77777777" w:rsidR="00296541" w:rsidRPr="00296541" w:rsidRDefault="00296541" w:rsidP="00296541">
                      <w:pPr>
                        <w:rPr>
                          <w:rFonts w:asciiTheme="minorHAnsi" w:hAnsiTheme="minorHAnsi" w:cstheme="minorHAnsi"/>
                        </w:rPr>
                      </w:pPr>
                    </w:p>
                    <w:p w14:paraId="0A2FA709"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Richard Wittchow MD, Extension 52709</w:t>
                      </w:r>
                    </w:p>
                    <w:p w14:paraId="6127B712" w14:textId="77777777" w:rsidR="00296541" w:rsidRPr="00296541" w:rsidRDefault="00296541" w:rsidP="00296541">
                      <w:pPr>
                        <w:rPr>
                          <w:rFonts w:asciiTheme="minorHAnsi" w:hAnsiTheme="minorHAnsi" w:cstheme="minorHAnsi"/>
                        </w:rPr>
                      </w:pPr>
                    </w:p>
                    <w:p w14:paraId="4BA70D39"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 xml:space="preserve">Gordon Zeng MD, Extension 52262 </w:t>
                      </w:r>
                    </w:p>
                    <w:p w14:paraId="62B31BD2" w14:textId="77777777" w:rsidR="00296541" w:rsidRPr="00296541" w:rsidRDefault="00296541" w:rsidP="00296541">
                      <w:pPr>
                        <w:rPr>
                          <w:rFonts w:asciiTheme="minorHAnsi" w:hAnsiTheme="minorHAnsi" w:cstheme="minorHAnsi"/>
                        </w:rPr>
                      </w:pPr>
                    </w:p>
                    <w:p w14:paraId="0C3F3882"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Sarah Hughes MD, Extension 52640</w:t>
                      </w:r>
                    </w:p>
                    <w:p w14:paraId="7067984F" w14:textId="77777777" w:rsidR="00296541" w:rsidRPr="00296541" w:rsidRDefault="00296541" w:rsidP="00296541">
                      <w:pPr>
                        <w:rPr>
                          <w:rFonts w:asciiTheme="minorHAnsi" w:hAnsiTheme="minorHAnsi" w:cstheme="minorHAnsi"/>
                        </w:rPr>
                      </w:pPr>
                    </w:p>
                    <w:p w14:paraId="514AFAAC"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Grzegorz Gurda MD, Extension 52107</w:t>
                      </w:r>
                    </w:p>
                    <w:p w14:paraId="447F6895" w14:textId="77777777" w:rsidR="00296541" w:rsidRPr="00296541" w:rsidRDefault="00296541" w:rsidP="00296541">
                      <w:pPr>
                        <w:rPr>
                          <w:rFonts w:asciiTheme="minorHAnsi" w:hAnsiTheme="minorHAnsi" w:cstheme="minorHAnsi"/>
                        </w:rPr>
                      </w:pPr>
                    </w:p>
                    <w:p w14:paraId="66DBFCA2"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Christopher Cogbill MD, Extension 54612</w:t>
                      </w:r>
                    </w:p>
                    <w:p w14:paraId="2077D142" w14:textId="77777777" w:rsidR="00296541" w:rsidRPr="00296541" w:rsidRDefault="00296541" w:rsidP="00296541">
                      <w:pPr>
                        <w:rPr>
                          <w:rFonts w:asciiTheme="minorHAnsi" w:hAnsiTheme="minorHAnsi" w:cstheme="minorHAnsi"/>
                        </w:rPr>
                      </w:pPr>
                    </w:p>
                    <w:p w14:paraId="2FA394DD"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Stephan Brettfeld DO, Extension 52820</w:t>
                      </w:r>
                    </w:p>
                    <w:p w14:paraId="3192AB7E" w14:textId="77777777" w:rsidR="00296541" w:rsidRPr="00296541" w:rsidRDefault="00296541" w:rsidP="00296541">
                      <w:pPr>
                        <w:rPr>
                          <w:rFonts w:asciiTheme="minorHAnsi" w:hAnsiTheme="minorHAnsi" w:cstheme="minorHAnsi"/>
                        </w:rPr>
                      </w:pPr>
                    </w:p>
                    <w:p w14:paraId="62C9C601" w14:textId="77777777" w:rsidR="00296541" w:rsidRPr="00296541" w:rsidRDefault="00296541" w:rsidP="00296541">
                      <w:pPr>
                        <w:rPr>
                          <w:rFonts w:asciiTheme="minorHAnsi" w:hAnsiTheme="minorHAnsi" w:cstheme="minorHAnsi"/>
                        </w:rPr>
                      </w:pPr>
                      <w:r w:rsidRPr="00296541">
                        <w:rPr>
                          <w:rFonts w:asciiTheme="minorHAnsi" w:hAnsiTheme="minorHAnsi" w:cstheme="minorHAnsi"/>
                        </w:rPr>
                        <w:t xml:space="preserve">Arick Sabin DO, Extension 52817 </w:t>
                      </w:r>
                    </w:p>
                    <w:p w14:paraId="71BE0E45" w14:textId="77777777" w:rsidR="00296541" w:rsidRPr="00296541" w:rsidRDefault="00296541" w:rsidP="00296541">
                      <w:pPr>
                        <w:rPr>
                          <w:rFonts w:asciiTheme="minorHAnsi" w:hAnsiTheme="minorHAnsi" w:cstheme="minorHAnsi"/>
                        </w:rPr>
                      </w:pPr>
                    </w:p>
                    <w:p w14:paraId="23365B37" w14:textId="2CBF6DB4" w:rsidR="00296541" w:rsidRDefault="00296541" w:rsidP="00296541">
                      <w:pPr>
                        <w:rPr>
                          <w:rFonts w:asciiTheme="minorHAnsi" w:hAnsiTheme="minorHAnsi" w:cstheme="minorHAnsi"/>
                        </w:rPr>
                      </w:pPr>
                      <w:r w:rsidRPr="00296541">
                        <w:rPr>
                          <w:rFonts w:asciiTheme="minorHAnsi" w:hAnsiTheme="minorHAnsi" w:cstheme="minorHAnsi"/>
                        </w:rPr>
                        <w:t>Stephen Bloechl MD, Extension 59645</w:t>
                      </w:r>
                    </w:p>
                    <w:p w14:paraId="46E0602B" w14:textId="28D619EE" w:rsidR="007F0816" w:rsidRDefault="007F0816" w:rsidP="00296541">
                      <w:pPr>
                        <w:rPr>
                          <w:rFonts w:asciiTheme="minorHAnsi" w:hAnsiTheme="minorHAnsi" w:cstheme="minorHAnsi"/>
                        </w:rPr>
                      </w:pPr>
                    </w:p>
                    <w:p w14:paraId="38AD7DCD" w14:textId="14CA534F" w:rsidR="007F0816" w:rsidRDefault="007F0816" w:rsidP="00296541">
                      <w:pPr>
                        <w:rPr>
                          <w:rFonts w:asciiTheme="minorHAnsi" w:hAnsiTheme="minorHAnsi" w:cstheme="minorHAnsi"/>
                        </w:rPr>
                      </w:pPr>
                      <w:r>
                        <w:rPr>
                          <w:rFonts w:asciiTheme="minorHAnsi" w:hAnsiTheme="minorHAnsi" w:cstheme="minorHAnsi"/>
                        </w:rPr>
                        <w:t>Lacey Schrader, MD, Extension 56477</w:t>
                      </w:r>
                    </w:p>
                    <w:p w14:paraId="30EACA5A" w14:textId="3A61B191" w:rsidR="00330AAF" w:rsidRDefault="00330AAF" w:rsidP="00296541">
                      <w:pPr>
                        <w:rPr>
                          <w:rFonts w:asciiTheme="minorHAnsi" w:hAnsiTheme="minorHAnsi" w:cstheme="minorHAnsi"/>
                        </w:rPr>
                      </w:pPr>
                    </w:p>
                    <w:p w14:paraId="5F0580B1" w14:textId="3C353F1C" w:rsidR="00330AAF" w:rsidRPr="00B6107B" w:rsidRDefault="00330AAF" w:rsidP="00330AAF">
                      <w:pPr>
                        <w:rPr>
                          <w:rFonts w:asciiTheme="minorHAnsi" w:hAnsiTheme="minorHAnsi" w:cstheme="minorHAnsi"/>
                        </w:rPr>
                      </w:pPr>
                      <w:proofErr w:type="spellStart"/>
                      <w:r w:rsidRPr="00B6107B">
                        <w:rPr>
                          <w:rFonts w:asciiTheme="minorHAnsi" w:hAnsiTheme="minorHAnsi" w:cstheme="minorHAnsi"/>
                        </w:rPr>
                        <w:t>Rasleen</w:t>
                      </w:r>
                      <w:proofErr w:type="spellEnd"/>
                      <w:r w:rsidRPr="00B6107B">
                        <w:rPr>
                          <w:rFonts w:asciiTheme="minorHAnsi" w:hAnsiTheme="minorHAnsi" w:cstheme="minorHAnsi"/>
                        </w:rPr>
                        <w:t xml:space="preserve"> Saluja, MD</w:t>
                      </w:r>
                      <w:r w:rsidRPr="00B6107B">
                        <w:rPr>
                          <w:rFonts w:asciiTheme="minorHAnsi" w:hAnsiTheme="minorHAnsi" w:cstheme="minorHAnsi"/>
                        </w:rPr>
                        <w:t>, Extension 50381</w:t>
                      </w:r>
                    </w:p>
                    <w:p w14:paraId="61C2DE86" w14:textId="77777777" w:rsidR="00330AAF" w:rsidRPr="00B6107B" w:rsidRDefault="00330AAF" w:rsidP="00330AAF">
                      <w:pPr>
                        <w:rPr>
                          <w:rFonts w:asciiTheme="minorHAnsi" w:hAnsiTheme="minorHAnsi" w:cstheme="minorHAnsi"/>
                        </w:rPr>
                      </w:pPr>
                    </w:p>
                    <w:p w14:paraId="7126EF59" w14:textId="75B37554" w:rsidR="00330AAF" w:rsidRPr="00B6107B" w:rsidRDefault="00330AAF" w:rsidP="00330AAF">
                      <w:pPr>
                        <w:rPr>
                          <w:rFonts w:asciiTheme="minorHAnsi" w:hAnsiTheme="minorHAnsi" w:cstheme="minorHAnsi"/>
                          <w:sz w:val="22"/>
                          <w:szCs w:val="22"/>
                        </w:rPr>
                      </w:pPr>
                      <w:r w:rsidRPr="00B6107B">
                        <w:rPr>
                          <w:rFonts w:asciiTheme="minorHAnsi" w:hAnsiTheme="minorHAnsi" w:cstheme="minorHAnsi"/>
                        </w:rPr>
                        <w:t xml:space="preserve">Janet </w:t>
                      </w:r>
                      <w:proofErr w:type="spellStart"/>
                      <w:r w:rsidRPr="00B6107B">
                        <w:rPr>
                          <w:rFonts w:asciiTheme="minorHAnsi" w:hAnsiTheme="minorHAnsi" w:cstheme="minorHAnsi"/>
                        </w:rPr>
                        <w:t>Torkelson</w:t>
                      </w:r>
                      <w:proofErr w:type="spellEnd"/>
                      <w:r w:rsidRPr="00B6107B">
                        <w:rPr>
                          <w:rFonts w:asciiTheme="minorHAnsi" w:hAnsiTheme="minorHAnsi" w:cstheme="minorHAnsi"/>
                        </w:rPr>
                        <w:t>, RN, NP</w:t>
                      </w:r>
                      <w:r w:rsidRPr="00B6107B">
                        <w:rPr>
                          <w:rFonts w:asciiTheme="minorHAnsi" w:hAnsiTheme="minorHAnsi" w:cstheme="minorHAnsi"/>
                        </w:rPr>
                        <w:t xml:space="preserve">, Extension </w:t>
                      </w:r>
                      <w:r w:rsidRPr="00B6107B">
                        <w:rPr>
                          <w:rFonts w:asciiTheme="minorHAnsi" w:hAnsiTheme="minorHAnsi" w:cstheme="minorHAnsi"/>
                        </w:rPr>
                        <w:t>52139</w:t>
                      </w:r>
                    </w:p>
                    <w:p w14:paraId="50E5DD78" w14:textId="77777777" w:rsidR="00330AAF" w:rsidRPr="00296541" w:rsidRDefault="00330AAF" w:rsidP="00296541">
                      <w:pPr>
                        <w:rPr>
                          <w:rFonts w:asciiTheme="minorHAnsi" w:hAnsiTheme="minorHAnsi" w:cstheme="minorHAnsi"/>
                        </w:rPr>
                      </w:pPr>
                    </w:p>
                    <w:p w14:paraId="7756010D" w14:textId="77777777" w:rsidR="00296541" w:rsidRPr="00296541" w:rsidRDefault="00296541" w:rsidP="00296541">
                      <w:pPr>
                        <w:rPr>
                          <w:rFonts w:asciiTheme="minorHAnsi" w:hAnsiTheme="minorHAnsi" w:cstheme="minorHAnsi"/>
                        </w:rPr>
                      </w:pPr>
                    </w:p>
                    <w:p w14:paraId="2ADB1F8B" w14:textId="77777777" w:rsidR="00296541" w:rsidRDefault="00296541"/>
                  </w:txbxContent>
                </v:textbox>
                <w10:wrap anchorx="margin"/>
              </v:shape>
            </w:pict>
          </mc:Fallback>
        </mc:AlternateContent>
      </w:r>
    </w:p>
    <w:sectPr w:rsidR="00296541" w:rsidSect="00296541">
      <w:headerReference w:type="default" r:id="rId11"/>
      <w:footerReference w:type="default" r:id="rId12"/>
      <w:pgSz w:w="12240" w:h="15840" w:code="1"/>
      <w:pgMar w:top="2070" w:right="720" w:bottom="1440" w:left="720" w:header="720" w:footer="36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2BE" w14:textId="77777777" w:rsidR="00710FBA" w:rsidRDefault="00710FBA">
      <w:r>
        <w:separator/>
      </w:r>
    </w:p>
  </w:endnote>
  <w:endnote w:type="continuationSeparator" w:id="0">
    <w:p w14:paraId="3A8D56E5" w14:textId="77777777" w:rsidR="00710FBA" w:rsidRDefault="0071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0"/>
      <w:gridCol w:w="2996"/>
      <w:gridCol w:w="2823"/>
      <w:gridCol w:w="2491"/>
    </w:tblGrid>
    <w:tr w:rsidR="00D756AA" w:rsidRPr="006B30B1" w14:paraId="287AB9A1" w14:textId="77777777" w:rsidTr="00E1789F">
      <w:tc>
        <w:tcPr>
          <w:tcW w:w="2538" w:type="dxa"/>
          <w:shd w:val="clear" w:color="auto" w:fill="auto"/>
        </w:tcPr>
        <w:p w14:paraId="70807AA1" w14:textId="77777777" w:rsidR="00F2023A" w:rsidRPr="006B30B1" w:rsidRDefault="006B30B1" w:rsidP="006B30B1">
          <w:pPr>
            <w:pStyle w:val="Footer"/>
            <w:tabs>
              <w:tab w:val="clear" w:pos="4320"/>
              <w:tab w:val="clear" w:pos="8640"/>
            </w:tabs>
            <w:spacing w:line="200" w:lineRule="exact"/>
            <w:jc w:val="center"/>
            <w:rPr>
              <w:rFonts w:ascii="Calibri" w:hAnsi="Calibri"/>
              <w:color w:val="007066"/>
              <w:sz w:val="18"/>
              <w:szCs w:val="22"/>
            </w:rPr>
          </w:pPr>
          <w:r w:rsidRPr="006B30B1">
            <w:rPr>
              <w:rFonts w:ascii="Calibri" w:hAnsi="Calibri"/>
              <w:b/>
              <w:color w:val="007066"/>
              <w:sz w:val="18"/>
              <w:szCs w:val="22"/>
            </w:rPr>
            <w:t>Palmer Lutheran</w:t>
          </w:r>
          <w:r w:rsidR="00F2023A" w:rsidRPr="006B30B1">
            <w:rPr>
              <w:rFonts w:ascii="Calibri" w:hAnsi="Calibri"/>
              <w:b/>
              <w:color w:val="007066"/>
              <w:sz w:val="18"/>
              <w:szCs w:val="22"/>
            </w:rPr>
            <w:t xml:space="preserve"> Hospital</w:t>
          </w:r>
          <w:r w:rsidR="00F2023A" w:rsidRPr="006B30B1">
            <w:rPr>
              <w:rFonts w:ascii="Calibri" w:hAnsi="Calibri"/>
              <w:b/>
              <w:color w:val="007066"/>
              <w:sz w:val="18"/>
              <w:szCs w:val="22"/>
            </w:rPr>
            <w:br/>
          </w:r>
          <w:r w:rsidRPr="006B30B1">
            <w:rPr>
              <w:rFonts w:ascii="Calibri" w:hAnsi="Calibri"/>
              <w:color w:val="007066"/>
              <w:sz w:val="18"/>
              <w:szCs w:val="22"/>
            </w:rPr>
            <w:t>112 Jefferson Street</w:t>
          </w:r>
          <w:r w:rsidR="00F2023A" w:rsidRPr="006B30B1">
            <w:rPr>
              <w:rFonts w:ascii="Calibri" w:hAnsi="Calibri"/>
              <w:color w:val="007066"/>
              <w:sz w:val="18"/>
              <w:szCs w:val="22"/>
            </w:rPr>
            <w:br/>
          </w:r>
          <w:r w:rsidRPr="006B30B1">
            <w:rPr>
              <w:rFonts w:ascii="Calibri" w:hAnsi="Calibri"/>
              <w:color w:val="007066"/>
              <w:sz w:val="18"/>
              <w:szCs w:val="22"/>
            </w:rPr>
            <w:t>West Union, Iowa 52175</w:t>
          </w:r>
          <w:r w:rsidR="00D756AA" w:rsidRPr="006B30B1">
            <w:rPr>
              <w:rFonts w:ascii="Calibri" w:hAnsi="Calibri"/>
              <w:color w:val="007066"/>
              <w:sz w:val="18"/>
              <w:szCs w:val="22"/>
            </w:rPr>
            <w:br/>
          </w:r>
          <w:r w:rsidRPr="006B30B1">
            <w:rPr>
              <w:rFonts w:ascii="Calibri" w:hAnsi="Calibri"/>
              <w:color w:val="007066"/>
              <w:sz w:val="18"/>
              <w:szCs w:val="22"/>
            </w:rPr>
            <w:t>(563) 422-3811</w:t>
          </w:r>
          <w:r w:rsidR="00D756AA" w:rsidRPr="006B30B1">
            <w:rPr>
              <w:rFonts w:ascii="Calibri" w:hAnsi="Calibri"/>
              <w:color w:val="007066"/>
              <w:sz w:val="18"/>
              <w:szCs w:val="22"/>
            </w:rPr>
            <w:br/>
          </w:r>
          <w:r w:rsidR="00F2023A" w:rsidRPr="006B30B1">
            <w:rPr>
              <w:rFonts w:ascii="Calibri" w:hAnsi="Calibri"/>
              <w:color w:val="007066"/>
              <w:sz w:val="18"/>
              <w:szCs w:val="22"/>
            </w:rPr>
            <w:t xml:space="preserve">Fax: </w:t>
          </w:r>
          <w:r w:rsidRPr="006B30B1">
            <w:rPr>
              <w:rFonts w:ascii="Calibri" w:hAnsi="Calibri"/>
              <w:color w:val="007066"/>
              <w:sz w:val="18"/>
              <w:szCs w:val="22"/>
            </w:rPr>
            <w:t>(563) 422-9754</w:t>
          </w:r>
        </w:p>
      </w:tc>
      <w:tc>
        <w:tcPr>
          <w:tcW w:w="3060" w:type="dxa"/>
          <w:shd w:val="clear" w:color="auto" w:fill="auto"/>
        </w:tcPr>
        <w:p w14:paraId="0BED6176" w14:textId="77777777" w:rsidR="00F2023A" w:rsidRPr="006B30B1" w:rsidRDefault="006B30B1" w:rsidP="006B30B1">
          <w:pPr>
            <w:pStyle w:val="Footer"/>
            <w:tabs>
              <w:tab w:val="clear" w:pos="4320"/>
              <w:tab w:val="clear" w:pos="8640"/>
            </w:tabs>
            <w:spacing w:line="200" w:lineRule="exact"/>
            <w:jc w:val="center"/>
            <w:rPr>
              <w:rFonts w:ascii="Calibri" w:hAnsi="Calibri"/>
              <w:color w:val="007066"/>
              <w:sz w:val="18"/>
              <w:szCs w:val="22"/>
            </w:rPr>
          </w:pPr>
          <w:r w:rsidRPr="006B30B1">
            <w:rPr>
              <w:rFonts w:ascii="Calibri" w:hAnsi="Calibri"/>
              <w:b/>
              <w:color w:val="007066"/>
              <w:sz w:val="18"/>
              <w:szCs w:val="22"/>
            </w:rPr>
            <w:t>Fayette Clinic</w:t>
          </w:r>
          <w:r w:rsidR="00F2023A" w:rsidRPr="006B30B1">
            <w:rPr>
              <w:rFonts w:ascii="Calibri" w:hAnsi="Calibri"/>
              <w:color w:val="007066"/>
              <w:sz w:val="18"/>
              <w:szCs w:val="22"/>
            </w:rPr>
            <w:br/>
          </w:r>
          <w:r w:rsidRPr="006B30B1">
            <w:rPr>
              <w:rFonts w:ascii="Calibri" w:hAnsi="Calibri"/>
              <w:color w:val="007066"/>
              <w:sz w:val="18"/>
              <w:szCs w:val="22"/>
            </w:rPr>
            <w:t>110 King Street</w:t>
          </w:r>
          <w:r w:rsidR="00F2023A" w:rsidRPr="006B30B1">
            <w:rPr>
              <w:rFonts w:ascii="Calibri" w:hAnsi="Calibri"/>
              <w:color w:val="007066"/>
              <w:sz w:val="18"/>
              <w:szCs w:val="22"/>
            </w:rPr>
            <w:br/>
          </w:r>
          <w:r w:rsidRPr="006B30B1">
            <w:rPr>
              <w:rFonts w:ascii="Calibri" w:hAnsi="Calibri"/>
              <w:color w:val="007066"/>
              <w:sz w:val="18"/>
              <w:szCs w:val="22"/>
            </w:rPr>
            <w:t>Fayette, Iowa 52142</w:t>
          </w:r>
          <w:r w:rsidR="00F2023A" w:rsidRPr="006B30B1">
            <w:rPr>
              <w:rFonts w:ascii="Calibri" w:hAnsi="Calibri"/>
              <w:color w:val="007066"/>
              <w:sz w:val="18"/>
              <w:szCs w:val="22"/>
            </w:rPr>
            <w:br/>
          </w:r>
          <w:r w:rsidRPr="006B30B1">
            <w:rPr>
              <w:rFonts w:ascii="Calibri" w:hAnsi="Calibri"/>
              <w:color w:val="007066"/>
              <w:sz w:val="18"/>
              <w:szCs w:val="22"/>
            </w:rPr>
            <w:t>(563) 425-3381</w:t>
          </w:r>
          <w:r w:rsidR="00D756AA" w:rsidRPr="006B30B1">
            <w:rPr>
              <w:rFonts w:ascii="Calibri" w:hAnsi="Calibri"/>
              <w:color w:val="007066"/>
              <w:sz w:val="18"/>
              <w:szCs w:val="22"/>
            </w:rPr>
            <w:br/>
          </w:r>
          <w:r w:rsidR="00F2023A" w:rsidRPr="006B30B1">
            <w:rPr>
              <w:rFonts w:ascii="Calibri" w:hAnsi="Calibri"/>
              <w:color w:val="007066"/>
              <w:sz w:val="18"/>
              <w:szCs w:val="22"/>
            </w:rPr>
            <w:t xml:space="preserve">Fax: </w:t>
          </w:r>
          <w:r w:rsidRPr="006B30B1">
            <w:rPr>
              <w:rFonts w:ascii="Calibri" w:hAnsi="Calibri"/>
              <w:color w:val="007066"/>
              <w:sz w:val="18"/>
              <w:szCs w:val="22"/>
            </w:rPr>
            <w:t>(563) 425-4361</w:t>
          </w:r>
        </w:p>
      </w:tc>
      <w:tc>
        <w:tcPr>
          <w:tcW w:w="2880" w:type="dxa"/>
          <w:shd w:val="clear" w:color="auto" w:fill="auto"/>
        </w:tcPr>
        <w:p w14:paraId="2CC09FCB" w14:textId="77777777" w:rsidR="00F2023A" w:rsidRPr="006B30B1" w:rsidRDefault="006B30B1" w:rsidP="006B30B1">
          <w:pPr>
            <w:pStyle w:val="Footer"/>
            <w:tabs>
              <w:tab w:val="clear" w:pos="4320"/>
              <w:tab w:val="clear" w:pos="8640"/>
            </w:tabs>
            <w:spacing w:line="200" w:lineRule="exact"/>
            <w:jc w:val="center"/>
            <w:rPr>
              <w:rFonts w:ascii="Calibri" w:hAnsi="Calibri"/>
              <w:b/>
              <w:color w:val="007066"/>
              <w:sz w:val="18"/>
              <w:szCs w:val="22"/>
            </w:rPr>
          </w:pPr>
          <w:r w:rsidRPr="006B30B1">
            <w:rPr>
              <w:rFonts w:ascii="Calibri" w:hAnsi="Calibri"/>
              <w:b/>
              <w:color w:val="007066"/>
              <w:sz w:val="18"/>
              <w:szCs w:val="22"/>
            </w:rPr>
            <w:t xml:space="preserve">Postville </w:t>
          </w:r>
          <w:r w:rsidR="00F2023A" w:rsidRPr="006B30B1">
            <w:rPr>
              <w:rFonts w:ascii="Calibri" w:hAnsi="Calibri"/>
              <w:b/>
              <w:color w:val="007066"/>
              <w:sz w:val="18"/>
              <w:szCs w:val="22"/>
            </w:rPr>
            <w:t>Clinic</w:t>
          </w:r>
        </w:p>
        <w:p w14:paraId="74BF03DD" w14:textId="77777777" w:rsidR="00F2023A" w:rsidRPr="006B30B1" w:rsidRDefault="006B30B1" w:rsidP="006B30B1">
          <w:pPr>
            <w:pStyle w:val="Footer"/>
            <w:tabs>
              <w:tab w:val="clear" w:pos="4320"/>
              <w:tab w:val="clear" w:pos="8640"/>
            </w:tabs>
            <w:spacing w:line="200" w:lineRule="exact"/>
            <w:jc w:val="center"/>
            <w:rPr>
              <w:rFonts w:ascii="Calibri" w:hAnsi="Calibri"/>
              <w:color w:val="007066"/>
              <w:sz w:val="18"/>
              <w:szCs w:val="22"/>
            </w:rPr>
          </w:pPr>
          <w:r w:rsidRPr="006B30B1">
            <w:rPr>
              <w:rFonts w:ascii="Calibri" w:hAnsi="Calibri"/>
              <w:color w:val="007066"/>
              <w:sz w:val="18"/>
              <w:szCs w:val="22"/>
            </w:rPr>
            <w:t>111 South Reynolds Street</w:t>
          </w:r>
          <w:r w:rsidR="00F2023A" w:rsidRPr="006B30B1">
            <w:rPr>
              <w:rFonts w:ascii="Calibri" w:hAnsi="Calibri"/>
              <w:color w:val="007066"/>
              <w:sz w:val="18"/>
              <w:szCs w:val="22"/>
            </w:rPr>
            <w:br/>
          </w:r>
          <w:r w:rsidRPr="006B30B1">
            <w:rPr>
              <w:rFonts w:ascii="Calibri" w:hAnsi="Calibri"/>
              <w:color w:val="007066"/>
              <w:sz w:val="18"/>
              <w:szCs w:val="22"/>
            </w:rPr>
            <w:t>Postville, Iowa 52162</w:t>
          </w:r>
          <w:r w:rsidR="00F2023A" w:rsidRPr="006B30B1">
            <w:rPr>
              <w:rFonts w:ascii="Calibri" w:hAnsi="Calibri"/>
              <w:color w:val="007066"/>
              <w:sz w:val="18"/>
              <w:szCs w:val="22"/>
            </w:rPr>
            <w:br/>
          </w:r>
          <w:r w:rsidRPr="006B30B1">
            <w:rPr>
              <w:rFonts w:ascii="Calibri" w:hAnsi="Calibri"/>
              <w:color w:val="007066"/>
              <w:sz w:val="18"/>
              <w:szCs w:val="22"/>
            </w:rPr>
            <w:t>(563) 864-7512</w:t>
          </w:r>
          <w:r w:rsidR="00D756AA" w:rsidRPr="006B30B1">
            <w:rPr>
              <w:rFonts w:ascii="Calibri" w:hAnsi="Calibri"/>
              <w:color w:val="007066"/>
              <w:sz w:val="18"/>
              <w:szCs w:val="22"/>
            </w:rPr>
            <w:br/>
          </w:r>
          <w:r w:rsidR="00F2023A" w:rsidRPr="006B30B1">
            <w:rPr>
              <w:rFonts w:ascii="Calibri" w:hAnsi="Calibri"/>
              <w:color w:val="007066"/>
              <w:sz w:val="18"/>
              <w:szCs w:val="22"/>
            </w:rPr>
            <w:t xml:space="preserve">Fax: </w:t>
          </w:r>
          <w:r w:rsidRPr="006B30B1">
            <w:rPr>
              <w:rFonts w:ascii="Calibri" w:hAnsi="Calibri"/>
              <w:color w:val="007066"/>
              <w:sz w:val="18"/>
              <w:szCs w:val="22"/>
            </w:rPr>
            <w:t>(563) 864-7511</w:t>
          </w:r>
        </w:p>
      </w:tc>
      <w:tc>
        <w:tcPr>
          <w:tcW w:w="2538" w:type="dxa"/>
          <w:shd w:val="clear" w:color="auto" w:fill="auto"/>
        </w:tcPr>
        <w:p w14:paraId="5F041C4F" w14:textId="77777777" w:rsidR="00F2023A" w:rsidRPr="006B30B1" w:rsidRDefault="00F2023A" w:rsidP="006B30B1">
          <w:pPr>
            <w:pStyle w:val="Footer"/>
            <w:tabs>
              <w:tab w:val="clear" w:pos="4320"/>
              <w:tab w:val="clear" w:pos="8640"/>
            </w:tabs>
            <w:spacing w:line="200" w:lineRule="exact"/>
            <w:jc w:val="center"/>
            <w:rPr>
              <w:rFonts w:ascii="Calibri" w:hAnsi="Calibri"/>
              <w:b/>
              <w:color w:val="007066"/>
              <w:sz w:val="18"/>
              <w:szCs w:val="22"/>
            </w:rPr>
          </w:pPr>
          <w:r w:rsidRPr="006B30B1">
            <w:rPr>
              <w:rFonts w:ascii="Calibri" w:hAnsi="Calibri"/>
              <w:b/>
              <w:color w:val="007066"/>
              <w:sz w:val="18"/>
              <w:szCs w:val="22"/>
            </w:rPr>
            <w:t>W</w:t>
          </w:r>
          <w:r w:rsidR="006B30B1" w:rsidRPr="006B30B1">
            <w:rPr>
              <w:rFonts w:ascii="Calibri" w:hAnsi="Calibri"/>
              <w:b/>
              <w:color w:val="007066"/>
              <w:sz w:val="18"/>
              <w:szCs w:val="22"/>
            </w:rPr>
            <w:t xml:space="preserve">est Union </w:t>
          </w:r>
          <w:r w:rsidRPr="006B30B1">
            <w:rPr>
              <w:rFonts w:ascii="Calibri" w:hAnsi="Calibri"/>
              <w:b/>
              <w:color w:val="007066"/>
              <w:sz w:val="18"/>
              <w:szCs w:val="22"/>
            </w:rPr>
            <w:t>Clinic</w:t>
          </w:r>
        </w:p>
        <w:p w14:paraId="3BBEF99C" w14:textId="77777777" w:rsidR="00F2023A" w:rsidRPr="006B30B1" w:rsidRDefault="006B30B1" w:rsidP="006B30B1">
          <w:pPr>
            <w:pStyle w:val="Footer"/>
            <w:tabs>
              <w:tab w:val="clear" w:pos="4320"/>
              <w:tab w:val="clear" w:pos="8640"/>
            </w:tabs>
            <w:spacing w:line="200" w:lineRule="exact"/>
            <w:jc w:val="center"/>
            <w:rPr>
              <w:rFonts w:ascii="Calibri" w:hAnsi="Calibri"/>
              <w:color w:val="007066"/>
              <w:sz w:val="18"/>
              <w:szCs w:val="22"/>
            </w:rPr>
          </w:pPr>
          <w:r w:rsidRPr="006B30B1">
            <w:rPr>
              <w:rFonts w:ascii="Calibri" w:hAnsi="Calibri"/>
              <w:color w:val="007066"/>
              <w:sz w:val="18"/>
              <w:szCs w:val="22"/>
            </w:rPr>
            <w:t>110 Jefferson Street</w:t>
          </w:r>
          <w:r w:rsidR="00F2023A" w:rsidRPr="006B30B1">
            <w:rPr>
              <w:rFonts w:ascii="Calibri" w:hAnsi="Calibri"/>
              <w:color w:val="007066"/>
              <w:sz w:val="18"/>
              <w:szCs w:val="22"/>
            </w:rPr>
            <w:br/>
          </w:r>
          <w:r w:rsidRPr="006B30B1">
            <w:rPr>
              <w:rFonts w:ascii="Calibri" w:hAnsi="Calibri"/>
              <w:color w:val="007066"/>
              <w:sz w:val="18"/>
              <w:szCs w:val="22"/>
            </w:rPr>
            <w:t>West Union, Iowa 52175</w:t>
          </w:r>
          <w:r w:rsidR="00F2023A" w:rsidRPr="006B30B1">
            <w:rPr>
              <w:rFonts w:ascii="Calibri" w:hAnsi="Calibri"/>
              <w:color w:val="007066"/>
              <w:sz w:val="18"/>
              <w:szCs w:val="22"/>
            </w:rPr>
            <w:br/>
          </w:r>
          <w:r w:rsidRPr="006B30B1">
            <w:rPr>
              <w:rFonts w:ascii="Calibri" w:hAnsi="Calibri"/>
              <w:color w:val="007066"/>
              <w:sz w:val="18"/>
              <w:szCs w:val="22"/>
            </w:rPr>
            <w:t>(563) 422-3817</w:t>
          </w:r>
          <w:r w:rsidR="00D756AA" w:rsidRPr="006B30B1">
            <w:rPr>
              <w:rFonts w:ascii="Calibri" w:hAnsi="Calibri"/>
              <w:color w:val="007066"/>
              <w:sz w:val="18"/>
              <w:szCs w:val="22"/>
            </w:rPr>
            <w:br/>
            <w:t xml:space="preserve">Fax: </w:t>
          </w:r>
          <w:r w:rsidRPr="006B30B1">
            <w:rPr>
              <w:rFonts w:ascii="Calibri" w:hAnsi="Calibri"/>
              <w:color w:val="007066"/>
              <w:sz w:val="18"/>
              <w:szCs w:val="22"/>
            </w:rPr>
            <w:t>(563) 422-5937</w:t>
          </w:r>
        </w:p>
      </w:tc>
    </w:tr>
  </w:tbl>
  <w:p w14:paraId="073014CE" w14:textId="77777777" w:rsidR="003051E9" w:rsidRPr="000C3093" w:rsidRDefault="003051E9" w:rsidP="00D756AA">
    <w:pPr>
      <w:pStyle w:val="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5B94" w14:textId="77777777" w:rsidR="00710FBA" w:rsidRDefault="00710FBA">
      <w:r>
        <w:separator/>
      </w:r>
    </w:p>
  </w:footnote>
  <w:footnote w:type="continuationSeparator" w:id="0">
    <w:p w14:paraId="21D4D442" w14:textId="77777777" w:rsidR="00710FBA" w:rsidRDefault="0071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3998" w14:textId="320F2072" w:rsidR="003051E9" w:rsidRDefault="00F44C9B" w:rsidP="00E05813">
    <w:pPr>
      <w:pStyle w:val="Header"/>
      <w:jc w:val="center"/>
    </w:pPr>
    <w:r w:rsidRPr="00355B3D">
      <w:rPr>
        <w:noProof/>
      </w:rPr>
      <w:drawing>
        <wp:inline distT="0" distB="0" distL="0" distR="0" wp14:anchorId="01CCE077" wp14:editId="550814B4">
          <wp:extent cx="220027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CE8C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7C386B"/>
    <w:multiLevelType w:val="hybridMultilevel"/>
    <w:tmpl w:val="B5F0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3781B"/>
    <w:multiLevelType w:val="hybridMultilevel"/>
    <w:tmpl w:val="DE9A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BF570E"/>
    <w:multiLevelType w:val="hybridMultilevel"/>
    <w:tmpl w:val="17127312"/>
    <w:lvl w:ilvl="0" w:tplc="39444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664C8E"/>
    <w:multiLevelType w:val="hybridMultilevel"/>
    <w:tmpl w:val="3B7C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10536">
    <w:abstractNumId w:val="3"/>
  </w:num>
  <w:num w:numId="2" w16cid:durableId="1206329833">
    <w:abstractNumId w:val="0"/>
  </w:num>
  <w:num w:numId="3" w16cid:durableId="1977179514">
    <w:abstractNumId w:val="4"/>
  </w:num>
  <w:num w:numId="4" w16cid:durableId="1525094524">
    <w:abstractNumId w:val="1"/>
  </w:num>
  <w:num w:numId="5" w16cid:durableId="1614169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13"/>
    <w:rsid w:val="0002066E"/>
    <w:rsid w:val="00051FC5"/>
    <w:rsid w:val="000556C2"/>
    <w:rsid w:val="000634D7"/>
    <w:rsid w:val="00085AE2"/>
    <w:rsid w:val="000C3093"/>
    <w:rsid w:val="00136126"/>
    <w:rsid w:val="00160570"/>
    <w:rsid w:val="00176013"/>
    <w:rsid w:val="001767B5"/>
    <w:rsid w:val="001C5543"/>
    <w:rsid w:val="00273CEA"/>
    <w:rsid w:val="00296541"/>
    <w:rsid w:val="002B47EF"/>
    <w:rsid w:val="003051E9"/>
    <w:rsid w:val="00330AAF"/>
    <w:rsid w:val="00342C79"/>
    <w:rsid w:val="003C49F5"/>
    <w:rsid w:val="003E01B2"/>
    <w:rsid w:val="00490212"/>
    <w:rsid w:val="00495651"/>
    <w:rsid w:val="00566F89"/>
    <w:rsid w:val="00583805"/>
    <w:rsid w:val="005C0F9C"/>
    <w:rsid w:val="005D00BB"/>
    <w:rsid w:val="005F50A0"/>
    <w:rsid w:val="006B30B1"/>
    <w:rsid w:val="006C27FF"/>
    <w:rsid w:val="006D7B9B"/>
    <w:rsid w:val="00710FBA"/>
    <w:rsid w:val="00720FE1"/>
    <w:rsid w:val="007F0816"/>
    <w:rsid w:val="00832AFE"/>
    <w:rsid w:val="00834CEC"/>
    <w:rsid w:val="008A5215"/>
    <w:rsid w:val="008B5656"/>
    <w:rsid w:val="008D7F4F"/>
    <w:rsid w:val="008F572A"/>
    <w:rsid w:val="00905FFD"/>
    <w:rsid w:val="00916BD6"/>
    <w:rsid w:val="00923A88"/>
    <w:rsid w:val="00924D07"/>
    <w:rsid w:val="009E4350"/>
    <w:rsid w:val="00A06A7F"/>
    <w:rsid w:val="00A376B4"/>
    <w:rsid w:val="00A4104C"/>
    <w:rsid w:val="00AD3658"/>
    <w:rsid w:val="00AF220B"/>
    <w:rsid w:val="00AF237F"/>
    <w:rsid w:val="00B2662F"/>
    <w:rsid w:val="00B6107B"/>
    <w:rsid w:val="00BA37F7"/>
    <w:rsid w:val="00BB11F1"/>
    <w:rsid w:val="00C23CCB"/>
    <w:rsid w:val="00C835C0"/>
    <w:rsid w:val="00D756AA"/>
    <w:rsid w:val="00DB7873"/>
    <w:rsid w:val="00DD4D85"/>
    <w:rsid w:val="00E05813"/>
    <w:rsid w:val="00E1789F"/>
    <w:rsid w:val="00E623DD"/>
    <w:rsid w:val="00EB28FC"/>
    <w:rsid w:val="00EB6906"/>
    <w:rsid w:val="00EE7998"/>
    <w:rsid w:val="00EF0801"/>
    <w:rsid w:val="00F2023A"/>
    <w:rsid w:val="00F21CDA"/>
    <w:rsid w:val="00F44C9B"/>
    <w:rsid w:val="00FB65A5"/>
    <w:rsid w:val="00F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68F0E4"/>
  <w15:chartTrackingRefBased/>
  <w15:docId w15:val="{B442B5FF-54C6-470A-B10F-3D650CB5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813"/>
    <w:pPr>
      <w:tabs>
        <w:tab w:val="center" w:pos="4320"/>
        <w:tab w:val="right" w:pos="8640"/>
      </w:tabs>
    </w:pPr>
  </w:style>
  <w:style w:type="paragraph" w:styleId="Footer">
    <w:name w:val="footer"/>
    <w:basedOn w:val="Normal"/>
    <w:rsid w:val="00E05813"/>
    <w:pPr>
      <w:tabs>
        <w:tab w:val="center" w:pos="4320"/>
        <w:tab w:val="right" w:pos="8640"/>
      </w:tabs>
    </w:pPr>
  </w:style>
  <w:style w:type="character" w:styleId="Hyperlink">
    <w:name w:val="Hyperlink"/>
    <w:rsid w:val="008F572A"/>
    <w:rPr>
      <w:color w:val="0000FF"/>
      <w:u w:val="single"/>
    </w:rPr>
  </w:style>
  <w:style w:type="paragraph" w:styleId="ListBullet">
    <w:name w:val="List Bullet"/>
    <w:basedOn w:val="Normal"/>
    <w:rsid w:val="006C27FF"/>
    <w:pPr>
      <w:numPr>
        <w:numId w:val="2"/>
      </w:numPr>
      <w:contextualSpacing/>
    </w:pPr>
  </w:style>
  <w:style w:type="table" w:styleId="TableGrid">
    <w:name w:val="Table Grid"/>
    <w:basedOn w:val="TableNormal"/>
    <w:rsid w:val="00F2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0B1"/>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6B30B1"/>
    <w:pPr>
      <w:spacing w:line="241" w:lineRule="atLeast"/>
    </w:pPr>
    <w:rPr>
      <w:rFonts w:cs="Times New Roman"/>
      <w:color w:val="auto"/>
    </w:rPr>
  </w:style>
  <w:style w:type="character" w:customStyle="1" w:styleId="A0">
    <w:name w:val="A0"/>
    <w:uiPriority w:val="99"/>
    <w:rsid w:val="006B30B1"/>
    <w:rPr>
      <w:rFonts w:cs="Myriad Pro"/>
      <w:color w:val="000000"/>
      <w:sz w:val="16"/>
      <w:szCs w:val="16"/>
    </w:rPr>
  </w:style>
  <w:style w:type="paragraph" w:styleId="BodyText">
    <w:name w:val="Body Text"/>
    <w:basedOn w:val="Normal"/>
    <w:link w:val="BodyTextChar"/>
    <w:unhideWhenUsed/>
    <w:rsid w:val="00916BD6"/>
    <w:pPr>
      <w:spacing w:line="480" w:lineRule="auto"/>
    </w:pPr>
    <w:rPr>
      <w:szCs w:val="20"/>
    </w:rPr>
  </w:style>
  <w:style w:type="character" w:customStyle="1" w:styleId="BodyTextChar">
    <w:name w:val="Body Text Char"/>
    <w:link w:val="BodyText"/>
    <w:rsid w:val="00916BD6"/>
    <w:rPr>
      <w:sz w:val="24"/>
    </w:rPr>
  </w:style>
  <w:style w:type="character" w:styleId="UnresolvedMention">
    <w:name w:val="Unresolved Mention"/>
    <w:basedOn w:val="DefaultParagraphFont"/>
    <w:uiPriority w:val="99"/>
    <w:semiHidden/>
    <w:unhideWhenUsed/>
    <w:rsid w:val="00BB11F1"/>
    <w:rPr>
      <w:color w:val="605E5C"/>
      <w:shd w:val="clear" w:color="auto" w:fill="E1DFDD"/>
    </w:rPr>
  </w:style>
  <w:style w:type="character" w:styleId="FollowedHyperlink">
    <w:name w:val="FollowedHyperlink"/>
    <w:basedOn w:val="DefaultParagraphFont"/>
    <w:rsid w:val="00BB11F1"/>
    <w:rPr>
      <w:color w:val="954F72" w:themeColor="followedHyperlink"/>
      <w:u w:val="single"/>
    </w:rPr>
  </w:style>
  <w:style w:type="paragraph" w:styleId="ListParagraph">
    <w:name w:val="List Paragraph"/>
    <w:basedOn w:val="Normal"/>
    <w:uiPriority w:val="34"/>
    <w:qFormat/>
    <w:rsid w:val="00330AA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9267">
      <w:bodyDiv w:val="1"/>
      <w:marLeft w:val="0"/>
      <w:marRight w:val="0"/>
      <w:marTop w:val="0"/>
      <w:marBottom w:val="0"/>
      <w:divBdr>
        <w:top w:val="none" w:sz="0" w:space="0" w:color="auto"/>
        <w:left w:val="none" w:sz="0" w:space="0" w:color="auto"/>
        <w:bottom w:val="none" w:sz="0" w:space="0" w:color="auto"/>
        <w:right w:val="none" w:sz="0" w:space="0" w:color="auto"/>
      </w:divBdr>
    </w:div>
    <w:div w:id="15929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earch.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ndrsn-gundersen.policystat.com/policy/12420243/latest" TargetMode="External"/><Relationship Id="rId4" Type="http://schemas.openxmlformats.org/officeDocument/2006/relationships/settings" Target="settings.xml"/><Relationship Id="rId9" Type="http://schemas.openxmlformats.org/officeDocument/2006/relationships/hyperlink" Target="https://gndrsn-gundersen.policystat.com/policy/10027089/lat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FF81-3F28-4FD1-AE42-C9E7DB7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10048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Tri-County Memorial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dc:creator>
  <cp:keywords/>
  <cp:lastModifiedBy>Maager, Sally I</cp:lastModifiedBy>
  <cp:revision>2</cp:revision>
  <cp:lastPrinted>2016-06-21T13:25:00Z</cp:lastPrinted>
  <dcterms:created xsi:type="dcterms:W3CDTF">2023-12-13T20:58:00Z</dcterms:created>
  <dcterms:modified xsi:type="dcterms:W3CDTF">2023-12-13T20:58:00Z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2023-12-12T15:25:40Z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fc954f55-7fd4-4349-97d8-d043ef2588b0</vt:lpwstr>
  </property>
  <property fmtid="{D5CDD505-2E9C-101B-9397-08002B2CF9AE}" pid="8" name="MSIP_Label_51c4f4a0-0758-4978-9db2-14b419affcd6_ContentBits">
    <vt:lpwstr>0</vt:lpwstr>
  </property>
</Properties>
</file>