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3BFB7" w14:textId="37A99B77" w:rsidR="00473F99" w:rsidRDefault="00393995" w:rsidP="00473F99">
      <w:pPr>
        <w:spacing w:after="0" w:line="240" w:lineRule="auto"/>
      </w:pPr>
      <w:r>
        <w:t>#######, 201</w:t>
      </w:r>
      <w:r w:rsidR="006D0B03">
        <w:t>9</w:t>
      </w:r>
      <w:bookmarkStart w:id="0" w:name="_GoBack"/>
      <w:bookmarkEnd w:id="0"/>
    </w:p>
    <w:p w14:paraId="270EA3ED" w14:textId="77777777" w:rsidR="00473F99" w:rsidRDefault="00473F99" w:rsidP="00473F99">
      <w:pPr>
        <w:spacing w:after="0" w:line="240" w:lineRule="auto"/>
      </w:pPr>
    </w:p>
    <w:p w14:paraId="77B389C5" w14:textId="77777777" w:rsidR="00473F99" w:rsidRDefault="00473F99" w:rsidP="00473F99">
      <w:pPr>
        <w:spacing w:after="0" w:line="240" w:lineRule="auto"/>
      </w:pPr>
      <w:r>
        <w:t>Patient Name: #####, #####</w:t>
      </w:r>
    </w:p>
    <w:p w14:paraId="3DB94021" w14:textId="77777777" w:rsidR="00473F99" w:rsidRDefault="00473F99" w:rsidP="00473F99">
      <w:pPr>
        <w:spacing w:after="0" w:line="240" w:lineRule="auto"/>
      </w:pPr>
      <w:r>
        <w:t>Patient DOB: ##/##/####</w:t>
      </w:r>
    </w:p>
    <w:p w14:paraId="06DE0BAE" w14:textId="77777777" w:rsidR="00473F99" w:rsidRDefault="00473F99" w:rsidP="00473F99">
      <w:pPr>
        <w:spacing w:after="0" w:line="240" w:lineRule="auto"/>
      </w:pPr>
    </w:p>
    <w:p w14:paraId="0F72D5F3" w14:textId="77777777" w:rsidR="00473F99" w:rsidRDefault="00473F99" w:rsidP="00473F99">
      <w:pPr>
        <w:spacing w:after="0" w:line="240" w:lineRule="auto"/>
      </w:pPr>
      <w:r>
        <w:t xml:space="preserve">I’m writing this letter on behalf of patient </w:t>
      </w:r>
      <w:r w:rsidRPr="00473F99">
        <w:rPr>
          <w:b/>
        </w:rPr>
        <w:t>#####</w:t>
      </w:r>
      <w:r>
        <w:t xml:space="preserve"> to request coverage for performing the UCSF</w:t>
      </w:r>
      <w:r w:rsidR="00616EF5">
        <w:t xml:space="preserve"> cerebrospinal fluid (CSF) metagenomic next-generation sequencing (mNGS) infe</w:t>
      </w:r>
      <w:r w:rsidR="00393995">
        <w:t>ctious disease diagnostic test,</w:t>
      </w:r>
      <w:r>
        <w:t xml:space="preserve"> a </w:t>
      </w:r>
      <w:r w:rsidR="00393995">
        <w:t xml:space="preserve">clinically validated </w:t>
      </w:r>
      <w:r>
        <w:t xml:space="preserve">molecular test performed by </w:t>
      </w:r>
      <w:r w:rsidR="00393995">
        <w:t xml:space="preserve">the </w:t>
      </w:r>
      <w:r w:rsidR="00616EF5">
        <w:t>University of California San Francisco Medical Center’s Microbiology Laboratory</w:t>
      </w:r>
      <w:r>
        <w:t>.</w:t>
      </w:r>
    </w:p>
    <w:p w14:paraId="4386868C" w14:textId="77777777" w:rsidR="00473F99" w:rsidRDefault="00473F99" w:rsidP="00473F99">
      <w:pPr>
        <w:spacing w:after="0" w:line="240" w:lineRule="auto"/>
      </w:pPr>
    </w:p>
    <w:p w14:paraId="1AE47656" w14:textId="77777777" w:rsidR="00473F99" w:rsidRDefault="00473F99" w:rsidP="00473F99">
      <w:pPr>
        <w:spacing w:after="0" w:line="240" w:lineRule="auto"/>
      </w:pPr>
      <w:r>
        <w:t xml:space="preserve">This patient </w:t>
      </w:r>
      <w:r w:rsidR="00616EF5">
        <w:t>has a meningoencephalitis of unclear etiology despite extensive diagnostic testing for many infectious and non-infectious etiologies. As a result of this condition, the</w:t>
      </w:r>
      <w:r w:rsidR="00393995">
        <w:t xml:space="preserve"> patient has</w:t>
      </w:r>
      <w:r w:rsidR="00616EF5">
        <w:t xml:space="preserve"> develo</w:t>
      </w:r>
      <w:r w:rsidR="00393995">
        <w:t>ped ###disabilities#### and has</w:t>
      </w:r>
      <w:r w:rsidR="00616EF5">
        <w:t xml:space="preserve"> not responded to empiric therapies for ####diseases####. Given </w:t>
      </w:r>
      <w:r w:rsidR="00393995">
        <w:t>##his/her##</w:t>
      </w:r>
      <w:r w:rsidR="00616EF5">
        <w:t xml:space="preserve"> current clinical trajectory, I am concerned that this life-threatening illness will only progress. </w:t>
      </w:r>
      <w:r>
        <w:t>Molecular testing on the UCSF</w:t>
      </w:r>
      <w:r w:rsidR="00616EF5">
        <w:t xml:space="preserve"> CSF mNGS assay </w:t>
      </w:r>
      <w:r>
        <w:t>is medically essential for this patient for t</w:t>
      </w:r>
      <w:r w:rsidR="00FD1EC0">
        <w:t xml:space="preserve">wo </w:t>
      </w:r>
      <w:r>
        <w:t>purposes:</w:t>
      </w:r>
    </w:p>
    <w:p w14:paraId="499C940A" w14:textId="77777777" w:rsidR="00616EF5" w:rsidRDefault="00616EF5" w:rsidP="00473F99">
      <w:pPr>
        <w:spacing w:after="0" w:line="240" w:lineRule="auto"/>
      </w:pPr>
    </w:p>
    <w:p w14:paraId="16E81276" w14:textId="77777777" w:rsidR="00473F99" w:rsidRDefault="00616EF5" w:rsidP="00616EF5">
      <w:pPr>
        <w:pStyle w:val="ListParagraph"/>
        <w:numPr>
          <w:ilvl w:val="0"/>
          <w:numId w:val="1"/>
        </w:numPr>
        <w:spacing w:after="0" w:line="240" w:lineRule="auto"/>
      </w:pPr>
      <w:r>
        <w:t xml:space="preserve">Based on the patient’s clinical presentation, I am very suspicious of an infectious etiology, but the diagnostic tests </w:t>
      </w:r>
      <w:r w:rsidR="00393995">
        <w:t xml:space="preserve">I have </w:t>
      </w:r>
      <w:r>
        <w:t>sent thus far</w:t>
      </w:r>
      <w:r w:rsidR="00393995">
        <w:t>, each</w:t>
      </w:r>
      <w:r>
        <w:t xml:space="preserve"> for specific organisms</w:t>
      </w:r>
      <w:r w:rsidR="00393995">
        <w:t>,</w:t>
      </w:r>
      <w:r>
        <w:t xml:space="preserve"> have failed to identify an etiology. Unlike other infectious disease diagnostic tests, the CSF mNGS assay has the ability to identify any class of organism (DNA and RNA viruses, bacteria, fungi and parasites) in a single test whether the treating physician has suspicion for a particular organism or not. As a result, this test will be particularly useful for my patient’s diagnostically challenging presentation.</w:t>
      </w:r>
    </w:p>
    <w:p w14:paraId="6018EFA3" w14:textId="77777777" w:rsidR="00616EF5" w:rsidRDefault="00616EF5" w:rsidP="00616EF5">
      <w:pPr>
        <w:pStyle w:val="ListParagraph"/>
        <w:numPr>
          <w:ilvl w:val="0"/>
          <w:numId w:val="1"/>
        </w:numPr>
        <w:spacing w:after="0" w:line="240" w:lineRule="auto"/>
      </w:pPr>
      <w:r>
        <w:t xml:space="preserve">There is a possibility that my patient has a </w:t>
      </w:r>
      <w:r>
        <w:rPr>
          <w:b/>
        </w:rPr>
        <w:t xml:space="preserve">non-infectious </w:t>
      </w:r>
      <w:r>
        <w:t xml:space="preserve">cause of ##his/her## meningoencephalitis which may be effectively treated with empiric immunosuppression. To facilitate the </w:t>
      </w:r>
      <w:r w:rsidR="00393995">
        <w:t>institution of empiric immunosuppression, I need to first exhaustively rule out an occult infection which could be exacerbated by immune suppressing medications. The CSF mNGS assay is the most effective and efficient way to do this since it can detect a huge range of infections.</w:t>
      </w:r>
    </w:p>
    <w:p w14:paraId="37AE37F3" w14:textId="77777777" w:rsidR="00393995" w:rsidRDefault="00393995" w:rsidP="00393995">
      <w:pPr>
        <w:spacing w:after="0" w:line="240" w:lineRule="auto"/>
      </w:pPr>
    </w:p>
    <w:p w14:paraId="31A54928" w14:textId="77777777" w:rsidR="00393995" w:rsidRPr="00BB1205" w:rsidRDefault="00393995" w:rsidP="00BB1205">
      <w:pPr>
        <w:rPr>
          <w:rFonts w:ascii="Times" w:eastAsia="Times New Roman" w:hAnsi="Times" w:cs="Times New Roman"/>
          <w:sz w:val="20"/>
          <w:szCs w:val="20"/>
        </w:rPr>
      </w:pPr>
      <w:r>
        <w:rPr>
          <w:bCs/>
        </w:rPr>
        <w:t>For the performance characteristics of this validated diagnostic test, please refer to the following manuscript (</w:t>
      </w:r>
      <w:r w:rsidR="00BB1205" w:rsidRPr="00BB1205">
        <w:rPr>
          <w:rFonts w:ascii="Gill Sans MT" w:eastAsia="Times New Roman" w:hAnsi="Gill Sans MT" w:cs="Times New Roman"/>
          <w:color w:val="333333"/>
          <w:shd w:val="clear" w:color="auto" w:fill="FFFFFF"/>
        </w:rPr>
        <w:t>https://doi.org/10.1101/330381</w:t>
      </w:r>
      <w:r>
        <w:rPr>
          <w:bCs/>
        </w:rPr>
        <w:t>). In addition, a recent prospective, multi-center trial of 204 patients with idiopathic meningoencephalitis found that this CSF mNGS assay increased the number of identified infections by 22% and that the assay was 80% sensitive and 98% specific compared to all other direct detection testing on CSF ordered by treating physicians (e</w:t>
      </w:r>
      <w:r w:rsidR="00FD1EC0">
        <w:rPr>
          <w:bCs/>
        </w:rPr>
        <w:t>.</w:t>
      </w:r>
      <w:r>
        <w:rPr>
          <w:bCs/>
        </w:rPr>
        <w:t>g</w:t>
      </w:r>
      <w:r w:rsidR="00FD1EC0">
        <w:rPr>
          <w:bCs/>
        </w:rPr>
        <w:t>.</w:t>
      </w:r>
      <w:r>
        <w:rPr>
          <w:bCs/>
        </w:rPr>
        <w:t>, pathogen-specific PCR, culture and antigen testing</w:t>
      </w:r>
      <w:r w:rsidR="00FD1EC0">
        <w:rPr>
          <w:bCs/>
        </w:rPr>
        <w:t>)</w:t>
      </w:r>
      <w:r>
        <w:rPr>
          <w:bCs/>
        </w:rPr>
        <w:t xml:space="preserve">. </w:t>
      </w:r>
      <w:r w:rsidRPr="00393995">
        <w:rPr>
          <w:bCs/>
        </w:rPr>
        <w:t xml:space="preserve"> </w:t>
      </w:r>
      <w:r>
        <w:rPr>
          <w:bCs/>
        </w:rPr>
        <w:t>More than half of the additional infections detected by CSF mNGS had clinical impact, especially with regard to guiding treatment.</w:t>
      </w:r>
      <w:r w:rsidRPr="00393995">
        <w:rPr>
          <w:bCs/>
        </w:rPr>
        <w:t xml:space="preserve"> </w:t>
      </w:r>
    </w:p>
    <w:p w14:paraId="2CF4623E" w14:textId="77777777" w:rsidR="00473F99" w:rsidRDefault="00473F99" w:rsidP="00393995">
      <w:pPr>
        <w:spacing w:after="0" w:line="240" w:lineRule="auto"/>
      </w:pPr>
    </w:p>
    <w:p w14:paraId="3669AEC7" w14:textId="77777777" w:rsidR="00473F99" w:rsidRDefault="00473F99" w:rsidP="00473F99">
      <w:pPr>
        <w:spacing w:after="0" w:line="240" w:lineRule="auto"/>
      </w:pPr>
      <w:r>
        <w:t xml:space="preserve">I hope that you please consider this request for coverage of this molecular test that is considered essential to help </w:t>
      </w:r>
      <w:r w:rsidR="00393995">
        <w:t>either identify</w:t>
      </w:r>
      <w:r>
        <w:t xml:space="preserve"> the </w:t>
      </w:r>
      <w:r w:rsidR="00393995">
        <w:t xml:space="preserve">infectious </w:t>
      </w:r>
      <w:r>
        <w:t>diagnosis</w:t>
      </w:r>
      <w:r w:rsidR="00393995">
        <w:t xml:space="preserve"> in my patient or to exhaustively </w:t>
      </w:r>
      <w:r>
        <w:t xml:space="preserve">exclude </w:t>
      </w:r>
      <w:r w:rsidR="00393995">
        <w:t>an underlying infection and thereby enable me to pursue alternate treatment modalities to avoid further neurologic deterioration and permanent disability.</w:t>
      </w:r>
      <w:r>
        <w:t xml:space="preserve"> Please let me know if there are any questions.</w:t>
      </w:r>
    </w:p>
    <w:p w14:paraId="0F62E25C" w14:textId="77777777" w:rsidR="00473F99" w:rsidRDefault="00473F99" w:rsidP="00473F99">
      <w:pPr>
        <w:spacing w:after="0" w:line="240" w:lineRule="auto"/>
      </w:pPr>
    </w:p>
    <w:p w14:paraId="5F92A3A2" w14:textId="77777777" w:rsidR="00473F99" w:rsidRDefault="00473F99" w:rsidP="00473F99">
      <w:pPr>
        <w:spacing w:after="0" w:line="240" w:lineRule="auto"/>
      </w:pPr>
      <w:r w:rsidRPr="00BB1205">
        <w:t>Laboratory Information:</w:t>
      </w:r>
    </w:p>
    <w:p w14:paraId="179C713E" w14:textId="77777777" w:rsidR="00BB1205" w:rsidRDefault="00BB1205" w:rsidP="00473F99">
      <w:pPr>
        <w:spacing w:after="0" w:line="240" w:lineRule="auto"/>
      </w:pPr>
    </w:p>
    <w:p w14:paraId="67B126DF"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Times New Roman"/>
          <w:color w:val="000000"/>
        </w:rPr>
        <w:t>Facility Name: University of California, San Francisco, Clinical Microbiology Laboratory</w:t>
      </w:r>
    </w:p>
    <w:p w14:paraId="122D2091"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t>Address: 185 Berry St. Suite # 290, San Francisco, CA 94107</w:t>
      </w:r>
    </w:p>
    <w:p w14:paraId="68470F33"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t>NPI: 1689772592</w:t>
      </w:r>
    </w:p>
    <w:p w14:paraId="091EFE08"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lastRenderedPageBreak/>
        <w:t>Tax ID:  94-3281657</w:t>
      </w:r>
    </w:p>
    <w:p w14:paraId="05043EF8"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t>Phone: 415-353-1268</w:t>
      </w:r>
    </w:p>
    <w:p w14:paraId="0EF05D34"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t>Fax: 415-353-1829</w:t>
      </w:r>
    </w:p>
    <w:p w14:paraId="363454B4" w14:textId="77777777" w:rsidR="00BB1205" w:rsidRPr="0015305D" w:rsidRDefault="00BB1205" w:rsidP="00BB1205">
      <w:pPr>
        <w:spacing w:after="0" w:line="240" w:lineRule="auto"/>
        <w:rPr>
          <w:rFonts w:ascii="Calibri" w:eastAsia="Times New Roman" w:hAnsi="Calibri" w:cs="Segoe UI"/>
          <w:color w:val="000000"/>
        </w:rPr>
      </w:pPr>
      <w:r w:rsidRPr="0015305D">
        <w:rPr>
          <w:rFonts w:ascii="Calibri" w:eastAsia="Times New Roman" w:hAnsi="Calibri" w:cs="Segoe UI"/>
          <w:color w:val="000000"/>
        </w:rPr>
        <w:t>Test CPT: 81479 (DEX-Z Code ZB6T9, Lab Test ID P710)</w:t>
      </w:r>
    </w:p>
    <w:p w14:paraId="10A25BCE" w14:textId="77777777" w:rsidR="00BB1205" w:rsidRPr="0015305D" w:rsidRDefault="00BB1205" w:rsidP="00BB1205">
      <w:pPr>
        <w:spacing w:after="0" w:line="240" w:lineRule="auto"/>
        <w:rPr>
          <w:rFonts w:ascii="Calibri" w:eastAsia="Times New Roman" w:hAnsi="Calibri" w:cs="Times New Roman"/>
          <w:color w:val="000000"/>
        </w:rPr>
      </w:pPr>
      <w:r w:rsidRPr="0015305D">
        <w:rPr>
          <w:rFonts w:ascii="Calibri" w:eastAsia="Times New Roman" w:hAnsi="Calibri" w:cs="Segoe UI"/>
          <w:color w:val="000000"/>
        </w:rPr>
        <w:t>Test HCPC: G0452</w:t>
      </w:r>
    </w:p>
    <w:p w14:paraId="3FA89C38" w14:textId="77777777" w:rsidR="00473F99" w:rsidRDefault="00473F99" w:rsidP="00473F99">
      <w:pPr>
        <w:spacing w:after="0" w:line="240" w:lineRule="auto"/>
      </w:pPr>
    </w:p>
    <w:p w14:paraId="427DD487" w14:textId="77777777" w:rsidR="00694840" w:rsidRDefault="00473F99" w:rsidP="00473F99">
      <w:pPr>
        <w:spacing w:after="0" w:line="240" w:lineRule="auto"/>
      </w:pPr>
      <w:r>
        <w:t>Sincerely,</w:t>
      </w:r>
    </w:p>
    <w:sectPr w:rsidR="0069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Segoe UI">
    <w:altName w:val="Calibri"/>
    <w:panose1 w:val="020B0604020202020204"/>
    <w:charset w:val="00"/>
    <w:family w:val="swiss"/>
    <w:pitch w:val="variable"/>
    <w:sig w:usb0="E10022FF" w:usb1="C000E47F" w:usb2="00000029" w:usb3="00000000" w:csb0="000001D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95976"/>
    <w:multiLevelType w:val="hybridMultilevel"/>
    <w:tmpl w:val="CB540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F99"/>
    <w:rsid w:val="0015305D"/>
    <w:rsid w:val="00393995"/>
    <w:rsid w:val="00473F99"/>
    <w:rsid w:val="00616EF5"/>
    <w:rsid w:val="00694840"/>
    <w:rsid w:val="006D0B03"/>
    <w:rsid w:val="00886984"/>
    <w:rsid w:val="00BB1205"/>
    <w:rsid w:val="00D15773"/>
    <w:rsid w:val="00FD1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99460"/>
  <w15:docId w15:val="{CC1B7562-815E-ED48-94A1-337BD6F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399043">
      <w:bodyDiv w:val="1"/>
      <w:marLeft w:val="0"/>
      <w:marRight w:val="0"/>
      <w:marTop w:val="0"/>
      <w:marBottom w:val="0"/>
      <w:divBdr>
        <w:top w:val="none" w:sz="0" w:space="0" w:color="auto"/>
        <w:left w:val="none" w:sz="0" w:space="0" w:color="auto"/>
        <w:bottom w:val="none" w:sz="0" w:space="0" w:color="auto"/>
        <w:right w:val="none" w:sz="0" w:space="0" w:color="auto"/>
      </w:divBdr>
    </w:div>
    <w:div w:id="2079015889">
      <w:bodyDiv w:val="1"/>
      <w:marLeft w:val="0"/>
      <w:marRight w:val="0"/>
      <w:marTop w:val="0"/>
      <w:marBottom w:val="0"/>
      <w:divBdr>
        <w:top w:val="none" w:sz="0" w:space="0" w:color="auto"/>
        <w:left w:val="none" w:sz="0" w:space="0" w:color="auto"/>
        <w:bottom w:val="none" w:sz="0" w:space="0" w:color="auto"/>
        <w:right w:val="none" w:sz="0" w:space="0" w:color="auto"/>
      </w:divBdr>
      <w:divsChild>
        <w:div w:id="574246533">
          <w:marLeft w:val="0"/>
          <w:marRight w:val="0"/>
          <w:marTop w:val="0"/>
          <w:marBottom w:val="0"/>
          <w:divBdr>
            <w:top w:val="none" w:sz="0" w:space="0" w:color="auto"/>
            <w:left w:val="none" w:sz="0" w:space="0" w:color="auto"/>
            <w:bottom w:val="none" w:sz="0" w:space="0" w:color="auto"/>
            <w:right w:val="none" w:sz="0" w:space="0" w:color="auto"/>
          </w:divBdr>
        </w:div>
        <w:div w:id="1732536124">
          <w:marLeft w:val="0"/>
          <w:marRight w:val="0"/>
          <w:marTop w:val="0"/>
          <w:marBottom w:val="0"/>
          <w:divBdr>
            <w:top w:val="none" w:sz="0" w:space="0" w:color="auto"/>
            <w:left w:val="none" w:sz="0" w:space="0" w:color="auto"/>
            <w:bottom w:val="none" w:sz="0" w:space="0" w:color="auto"/>
            <w:right w:val="none" w:sz="0" w:space="0" w:color="auto"/>
          </w:divBdr>
        </w:div>
        <w:div w:id="286011116">
          <w:marLeft w:val="0"/>
          <w:marRight w:val="0"/>
          <w:marTop w:val="0"/>
          <w:marBottom w:val="0"/>
          <w:divBdr>
            <w:top w:val="none" w:sz="0" w:space="0" w:color="auto"/>
            <w:left w:val="none" w:sz="0" w:space="0" w:color="auto"/>
            <w:bottom w:val="none" w:sz="0" w:space="0" w:color="auto"/>
            <w:right w:val="none" w:sz="0" w:space="0" w:color="auto"/>
          </w:divBdr>
        </w:div>
        <w:div w:id="724991858">
          <w:marLeft w:val="0"/>
          <w:marRight w:val="0"/>
          <w:marTop w:val="0"/>
          <w:marBottom w:val="0"/>
          <w:divBdr>
            <w:top w:val="none" w:sz="0" w:space="0" w:color="auto"/>
            <w:left w:val="none" w:sz="0" w:space="0" w:color="auto"/>
            <w:bottom w:val="none" w:sz="0" w:space="0" w:color="auto"/>
            <w:right w:val="none" w:sz="0" w:space="0" w:color="auto"/>
          </w:divBdr>
        </w:div>
        <w:div w:id="1538002789">
          <w:marLeft w:val="0"/>
          <w:marRight w:val="0"/>
          <w:marTop w:val="0"/>
          <w:marBottom w:val="0"/>
          <w:divBdr>
            <w:top w:val="none" w:sz="0" w:space="0" w:color="auto"/>
            <w:left w:val="none" w:sz="0" w:space="0" w:color="auto"/>
            <w:bottom w:val="none" w:sz="0" w:space="0" w:color="auto"/>
            <w:right w:val="none" w:sz="0" w:space="0" w:color="auto"/>
          </w:divBdr>
        </w:div>
        <w:div w:id="839545443">
          <w:marLeft w:val="0"/>
          <w:marRight w:val="0"/>
          <w:marTop w:val="0"/>
          <w:marBottom w:val="0"/>
          <w:divBdr>
            <w:top w:val="none" w:sz="0" w:space="0" w:color="auto"/>
            <w:left w:val="none" w:sz="0" w:space="0" w:color="auto"/>
            <w:bottom w:val="none" w:sz="0" w:space="0" w:color="auto"/>
            <w:right w:val="none" w:sz="0" w:space="0" w:color="auto"/>
          </w:divBdr>
        </w:div>
        <w:div w:id="1624263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Solomon</dc:creator>
  <cp:keywords/>
  <dc:description/>
  <cp:lastModifiedBy>Sample, Hannah</cp:lastModifiedBy>
  <cp:revision>6</cp:revision>
  <dcterms:created xsi:type="dcterms:W3CDTF">2018-10-03T00:10:00Z</dcterms:created>
  <dcterms:modified xsi:type="dcterms:W3CDTF">2019-06-27T19:22:00Z</dcterms:modified>
</cp:coreProperties>
</file>