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20" w:rsidRPr="00EB1688" w:rsidRDefault="00043020" w:rsidP="00043020">
      <w:pPr>
        <w:jc w:val="center"/>
        <w:rPr>
          <w:sz w:val="32"/>
        </w:rPr>
      </w:pPr>
      <w:bookmarkStart w:id="0" w:name="_GoBack"/>
      <w:bookmarkEnd w:id="0"/>
      <w:r w:rsidRPr="00EB1688">
        <w:rPr>
          <w:sz w:val="32"/>
        </w:rPr>
        <w:t>Transfusion Guidelines</w:t>
      </w:r>
    </w:p>
    <w:p w:rsidR="00043020" w:rsidRPr="00EB1688" w:rsidRDefault="00043020" w:rsidP="00043020">
      <w:pPr>
        <w:jc w:val="center"/>
        <w:rPr>
          <w:sz w:val="32"/>
        </w:rPr>
      </w:pPr>
      <w:r>
        <w:rPr>
          <w:sz w:val="32"/>
        </w:rPr>
        <w:t>Fresh Frozen Plasma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026"/>
        <w:gridCol w:w="3192"/>
      </w:tblGrid>
      <w:tr w:rsidR="00043020" w:rsidTr="003710C7">
        <w:tc>
          <w:tcPr>
            <w:tcW w:w="2358" w:type="dxa"/>
          </w:tcPr>
          <w:p w:rsidR="00E53724" w:rsidRDefault="00043020" w:rsidP="00FA4ACB">
            <w:pPr>
              <w:jc w:val="center"/>
            </w:pPr>
            <w:r>
              <w:t>Laboratory Result</w:t>
            </w:r>
          </w:p>
        </w:tc>
        <w:tc>
          <w:tcPr>
            <w:tcW w:w="4026" w:type="dxa"/>
          </w:tcPr>
          <w:p w:rsidR="00043020" w:rsidRDefault="00043020" w:rsidP="003710C7">
            <w:pPr>
              <w:jc w:val="center"/>
            </w:pPr>
            <w:r>
              <w:t>Recommendation</w:t>
            </w:r>
          </w:p>
        </w:tc>
        <w:tc>
          <w:tcPr>
            <w:tcW w:w="3192" w:type="dxa"/>
          </w:tcPr>
          <w:p w:rsidR="00043020" w:rsidRDefault="00043020" w:rsidP="003710C7">
            <w:pPr>
              <w:jc w:val="center"/>
            </w:pPr>
            <w:r>
              <w:t>Comments</w:t>
            </w:r>
          </w:p>
        </w:tc>
      </w:tr>
      <w:tr w:rsidR="00043020" w:rsidTr="003710C7">
        <w:tc>
          <w:tcPr>
            <w:tcW w:w="2358" w:type="dxa"/>
            <w:vAlign w:val="center"/>
          </w:tcPr>
          <w:p w:rsidR="00043020" w:rsidRDefault="00FA4ACB" w:rsidP="003710C7">
            <w:pPr>
              <w:jc w:val="center"/>
            </w:pPr>
            <w:r>
              <w:t xml:space="preserve">INR </w:t>
            </w:r>
            <w:r w:rsidR="009912C3">
              <w:t>&gt;1.5</w:t>
            </w:r>
          </w:p>
          <w:p w:rsidR="003A2525" w:rsidRDefault="003A2525" w:rsidP="003710C7">
            <w:pPr>
              <w:jc w:val="center"/>
            </w:pPr>
            <w:r>
              <w:t>aPTT &gt;1.5 times the top of the normal range (&gt;52.5 seconds)</w:t>
            </w:r>
          </w:p>
        </w:tc>
        <w:tc>
          <w:tcPr>
            <w:tcW w:w="4026" w:type="dxa"/>
            <w:vAlign w:val="center"/>
          </w:tcPr>
          <w:p w:rsidR="00043020" w:rsidRDefault="009912C3" w:rsidP="003710C7">
            <w:r>
              <w:t>Transfuse in neurosurgical patients.</w:t>
            </w:r>
          </w:p>
        </w:tc>
        <w:tc>
          <w:tcPr>
            <w:tcW w:w="3192" w:type="dxa"/>
            <w:vAlign w:val="center"/>
          </w:tcPr>
          <w:p w:rsidR="00043020" w:rsidRDefault="00043020" w:rsidP="00043020"/>
        </w:tc>
      </w:tr>
      <w:tr w:rsidR="00043020" w:rsidTr="003710C7">
        <w:tc>
          <w:tcPr>
            <w:tcW w:w="2358" w:type="dxa"/>
            <w:vAlign w:val="center"/>
          </w:tcPr>
          <w:p w:rsidR="00043020" w:rsidRDefault="00FA4ACB" w:rsidP="003710C7">
            <w:pPr>
              <w:jc w:val="center"/>
            </w:pPr>
            <w:r>
              <w:t xml:space="preserve">INR </w:t>
            </w:r>
            <w:r w:rsidR="009912C3">
              <w:t>&gt;2.0</w:t>
            </w:r>
          </w:p>
        </w:tc>
        <w:tc>
          <w:tcPr>
            <w:tcW w:w="4026" w:type="dxa"/>
            <w:vAlign w:val="center"/>
          </w:tcPr>
          <w:p w:rsidR="00043020" w:rsidRDefault="009912C3" w:rsidP="003710C7">
            <w:r>
              <w:t>Transfuse in patients who will undergo invasive procedure.</w:t>
            </w:r>
          </w:p>
        </w:tc>
        <w:tc>
          <w:tcPr>
            <w:tcW w:w="3192" w:type="dxa"/>
            <w:vAlign w:val="center"/>
          </w:tcPr>
          <w:p w:rsidR="00043020" w:rsidRDefault="00043020" w:rsidP="003710C7"/>
        </w:tc>
      </w:tr>
      <w:tr w:rsidR="00043020" w:rsidTr="003710C7">
        <w:tc>
          <w:tcPr>
            <w:tcW w:w="2358" w:type="dxa"/>
            <w:vAlign w:val="center"/>
          </w:tcPr>
          <w:p w:rsidR="00043020" w:rsidRDefault="009912C3" w:rsidP="003710C7">
            <w:pPr>
              <w:jc w:val="center"/>
            </w:pPr>
            <w:r>
              <w:t>Undefined</w:t>
            </w:r>
          </w:p>
        </w:tc>
        <w:tc>
          <w:tcPr>
            <w:tcW w:w="4026" w:type="dxa"/>
            <w:vAlign w:val="center"/>
          </w:tcPr>
          <w:p w:rsidR="00043020" w:rsidRDefault="009912C3" w:rsidP="003710C7">
            <w:r>
              <w:t>Transfuse in trauma patients who are receiving trauma-associated transfusion algorithm.</w:t>
            </w:r>
          </w:p>
        </w:tc>
        <w:tc>
          <w:tcPr>
            <w:tcW w:w="3192" w:type="dxa"/>
            <w:vAlign w:val="center"/>
          </w:tcPr>
          <w:p w:rsidR="00043020" w:rsidRDefault="00355FF1" w:rsidP="003710C7">
            <w:r>
              <w:t>In massive transfusion a 2:1 ratio of RBCs to plasma products (i.e. platelets, frozen plasma, and cryoprecipitated AHF) is recommended.</w:t>
            </w:r>
          </w:p>
        </w:tc>
      </w:tr>
    </w:tbl>
    <w:p w:rsidR="00043020" w:rsidRDefault="00043020" w:rsidP="00043020">
      <w:pPr>
        <w:jc w:val="center"/>
      </w:pPr>
    </w:p>
    <w:p w:rsidR="00043020" w:rsidRDefault="00043020" w:rsidP="00043020">
      <w:pPr>
        <w:jc w:val="center"/>
      </w:pPr>
    </w:p>
    <w:p w:rsidR="00951398" w:rsidRDefault="00951398" w:rsidP="00F3196D">
      <w:pPr>
        <w:spacing w:after="0"/>
      </w:pPr>
      <w:r>
        <w:t>Each unit volume is approximately 250 cc, but varies.</w:t>
      </w:r>
    </w:p>
    <w:p w:rsidR="00951398" w:rsidRDefault="00951398" w:rsidP="00F3196D">
      <w:pPr>
        <w:spacing w:after="0"/>
      </w:pPr>
    </w:p>
    <w:p w:rsidR="00186D71" w:rsidRDefault="00355FF1" w:rsidP="00F3196D">
      <w:pPr>
        <w:spacing w:after="0"/>
      </w:pPr>
      <w:r>
        <w:t>Plasma should be administered in doses calculated to achieve plasma factor concentrations of at least 30%, which is the minimum hemostatic level for most coagulation factors.  This is usually achieved with the administration of 10-20 mL/kg patient weight, though more may be required, depending upon the clinical situation.</w:t>
      </w:r>
    </w:p>
    <w:p w:rsidR="00F3196D" w:rsidRDefault="00F3196D" w:rsidP="00F3196D">
      <w:pPr>
        <w:spacing w:after="0"/>
      </w:pPr>
    </w:p>
    <w:p w:rsidR="00355FF1" w:rsidRDefault="00355FF1" w:rsidP="00F3196D">
      <w:pPr>
        <w:spacing w:after="0"/>
      </w:pPr>
      <w:r>
        <w:t>Plasma transfusion should be guided by coagulation testing.  When such testing is not readily available, clinical evidence of bleeding may be used to direct transfusion decisions.</w:t>
      </w:r>
    </w:p>
    <w:p w:rsidR="00F3196D" w:rsidRDefault="00F3196D" w:rsidP="00F3196D">
      <w:pPr>
        <w:spacing w:after="0"/>
      </w:pPr>
    </w:p>
    <w:p w:rsidR="00355FF1" w:rsidRDefault="00355FF1" w:rsidP="00F3196D">
      <w:pPr>
        <w:spacing w:after="0"/>
      </w:pPr>
      <w:r>
        <w:t>The efficacy of plasma is questionable in many clinical settings, but in general, plasma transfusion is more effective at higher INR values.</w:t>
      </w:r>
    </w:p>
    <w:p w:rsidR="00355FF1" w:rsidRDefault="00355FF1" w:rsidP="00F3196D">
      <w:pPr>
        <w:spacing w:after="0"/>
      </w:pPr>
    </w:p>
    <w:p w:rsidR="00355FF1" w:rsidRDefault="00355FF1" w:rsidP="00F3196D">
      <w:pPr>
        <w:spacing w:after="0"/>
      </w:pPr>
      <w:r>
        <w:t>Plasma should not be used for the following:</w:t>
      </w:r>
    </w:p>
    <w:p w:rsidR="00355FF1" w:rsidRDefault="00355FF1" w:rsidP="00F3196D">
      <w:pPr>
        <w:pStyle w:val="ListParagraph"/>
        <w:numPr>
          <w:ilvl w:val="0"/>
          <w:numId w:val="1"/>
        </w:numPr>
        <w:spacing w:after="0"/>
      </w:pPr>
      <w:r>
        <w:t>Increasing blood volume or albumin concentration.</w:t>
      </w:r>
    </w:p>
    <w:p w:rsidR="00355FF1" w:rsidRDefault="00355FF1" w:rsidP="00F3196D">
      <w:pPr>
        <w:pStyle w:val="ListParagraph"/>
        <w:numPr>
          <w:ilvl w:val="0"/>
          <w:numId w:val="1"/>
        </w:numPr>
        <w:spacing w:after="0"/>
      </w:pPr>
      <w:r>
        <w:t>Coagulopathy that can be corrected with administration of Vitamin K.</w:t>
      </w:r>
    </w:p>
    <w:p w:rsidR="00355FF1" w:rsidRDefault="00355FF1" w:rsidP="00F3196D">
      <w:pPr>
        <w:pStyle w:val="ListParagraph"/>
        <w:numPr>
          <w:ilvl w:val="0"/>
          <w:numId w:val="1"/>
        </w:numPr>
        <w:spacing w:after="0"/>
      </w:pPr>
      <w:r>
        <w:t>Normalizing abnormal coagulation screen results in the absence of bleeding.</w:t>
      </w:r>
    </w:p>
    <w:p w:rsidR="00355FF1" w:rsidRDefault="00355FF1" w:rsidP="00F3196D">
      <w:pPr>
        <w:spacing w:after="0"/>
      </w:pPr>
    </w:p>
    <w:sectPr w:rsidR="00355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847"/>
    <w:multiLevelType w:val="hybridMultilevel"/>
    <w:tmpl w:val="33E4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0"/>
    <w:rsid w:val="00043020"/>
    <w:rsid w:val="00075AFC"/>
    <w:rsid w:val="00355FF1"/>
    <w:rsid w:val="003A2525"/>
    <w:rsid w:val="00425D50"/>
    <w:rsid w:val="00916840"/>
    <w:rsid w:val="00951398"/>
    <w:rsid w:val="009912C3"/>
    <w:rsid w:val="009C7C7E"/>
    <w:rsid w:val="009D6C28"/>
    <w:rsid w:val="00A41CE9"/>
    <w:rsid w:val="00CD48EC"/>
    <w:rsid w:val="00D057FF"/>
    <w:rsid w:val="00E53724"/>
    <w:rsid w:val="00F3196D"/>
    <w:rsid w:val="00FA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Wentworth-Douglass Hospital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LBMV</dc:creator>
  <cp:lastModifiedBy>lbbd</cp:lastModifiedBy>
  <cp:revision>2</cp:revision>
  <dcterms:created xsi:type="dcterms:W3CDTF">2017-06-12T14:42:00Z</dcterms:created>
  <dcterms:modified xsi:type="dcterms:W3CDTF">2017-06-12T14:42:00Z</dcterms:modified>
</cp:coreProperties>
</file>