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D983" w14:textId="77777777" w:rsidR="00A51412" w:rsidRPr="00852111" w:rsidRDefault="00A51412" w:rsidP="009F1F69">
      <w:pPr>
        <w:jc w:val="both"/>
        <w:rPr>
          <w:rFonts w:ascii="Arial" w:hAnsi="Arial" w:cs="Arial"/>
        </w:rPr>
      </w:pPr>
      <w:r w:rsidRPr="00852111">
        <w:rPr>
          <w:rFonts w:ascii="Arial" w:hAnsi="Arial" w:cs="Arial"/>
        </w:rPr>
        <w:t>When specimens submitted to the laboratory are found to be unacceptable for testing by the technologist, steps are taken in the hospital LIS to reject and reorder the sample. Proper notifications must be made and documented to ensure recollection. Quality assurance reports are filled out for certain scenarios.</w:t>
      </w:r>
    </w:p>
    <w:p w14:paraId="140F64FE" w14:textId="2BB22EFC" w:rsidR="00A51412" w:rsidRPr="00852111" w:rsidRDefault="00462B31" w:rsidP="00A51412">
      <w:pPr>
        <w:numPr>
          <w:ilvl w:val="0"/>
          <w:numId w:val="22"/>
        </w:numPr>
        <w:spacing w:after="0" w:line="240" w:lineRule="auto"/>
        <w:ind w:hanging="1080"/>
        <w:rPr>
          <w:rFonts w:ascii="Arial" w:hAnsi="Arial" w:cs="Arial"/>
          <w:b/>
        </w:rPr>
      </w:pPr>
      <w:r>
        <w:rPr>
          <w:rFonts w:ascii="Arial" w:hAnsi="Arial" w:cs="Arial"/>
          <w:b/>
        </w:rPr>
        <w:t xml:space="preserve">CRITERIA FOR ACCEPTABILITY/REJECTION </w:t>
      </w:r>
    </w:p>
    <w:p w14:paraId="3E19F690"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 xml:space="preserve">Incorrect specimen submitted for </w:t>
      </w:r>
      <w:proofErr w:type="gramStart"/>
      <w:r w:rsidRPr="00852111">
        <w:rPr>
          <w:rFonts w:ascii="Arial" w:hAnsi="Arial" w:cs="Arial"/>
        </w:rPr>
        <w:t>testing</w:t>
      </w:r>
      <w:proofErr w:type="gramEnd"/>
    </w:p>
    <w:p w14:paraId="0514B620"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Quantity of specimen submitted is insufficient for ordered test.</w:t>
      </w:r>
    </w:p>
    <w:p w14:paraId="069BABDE" w14:textId="5A830C1B"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 xml:space="preserve">Incorrect or incomplete information on specimen labels or </w:t>
      </w:r>
      <w:r w:rsidR="00ED1A0F">
        <w:rPr>
          <w:rFonts w:ascii="Arial" w:hAnsi="Arial" w:cs="Arial"/>
        </w:rPr>
        <w:t>Hospital Information System</w:t>
      </w:r>
      <w:r w:rsidRPr="00852111">
        <w:rPr>
          <w:rFonts w:ascii="Arial" w:hAnsi="Arial" w:cs="Arial"/>
        </w:rPr>
        <w:t xml:space="preserve"> order.</w:t>
      </w:r>
    </w:p>
    <w:p w14:paraId="1D1D06A4" w14:textId="5A51ACB2"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 xml:space="preserve">Patient information on specimen label and </w:t>
      </w:r>
      <w:r w:rsidR="00ED1A0F">
        <w:rPr>
          <w:rFonts w:ascii="Arial" w:hAnsi="Arial" w:cs="Arial"/>
        </w:rPr>
        <w:t>Hospital Information System</w:t>
      </w:r>
      <w:r w:rsidRPr="00852111">
        <w:rPr>
          <w:rFonts w:ascii="Arial" w:hAnsi="Arial" w:cs="Arial"/>
        </w:rPr>
        <w:t xml:space="preserve"> order do not match.</w:t>
      </w:r>
    </w:p>
    <w:p w14:paraId="7D9494BF"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Improper handling of specimen (</w:t>
      </w:r>
      <w:proofErr w:type="gramStart"/>
      <w:r w:rsidRPr="00852111">
        <w:rPr>
          <w:rFonts w:ascii="Arial" w:hAnsi="Arial" w:cs="Arial"/>
        </w:rPr>
        <w:t>i.e.</w:t>
      </w:r>
      <w:proofErr w:type="gramEnd"/>
      <w:r w:rsidRPr="00852111">
        <w:rPr>
          <w:rFonts w:ascii="Arial" w:hAnsi="Arial" w:cs="Arial"/>
        </w:rPr>
        <w:t xml:space="preserve"> not on ice)</w:t>
      </w:r>
    </w:p>
    <w:p w14:paraId="481B550E"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Finger stick specimen submitted for venous blood test.</w:t>
      </w:r>
    </w:p>
    <w:p w14:paraId="5B9AC2B1"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Specimens drawn above an IV site.</w:t>
      </w:r>
    </w:p>
    <w:p w14:paraId="5B2BDA83"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Hemolyzed specimen.</w:t>
      </w:r>
    </w:p>
    <w:p w14:paraId="3C6AC81B"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Clotted specimens for Hematology/Coagulation testing.</w:t>
      </w:r>
    </w:p>
    <w:p w14:paraId="678B7897"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Coagulation specimens (light blue top tubes) that are under-filled or over-filled.</w:t>
      </w:r>
    </w:p>
    <w:p w14:paraId="6C9E2F51"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Evacuated additive tubes that are under filled or over filled. All must be filled to or within ±10% of the fill mark or stated draw volume.</w:t>
      </w:r>
    </w:p>
    <w:p w14:paraId="0B8A16F0"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Additive microtainer tubes that are under filled or over filled. All must be filled to between the 250ul and 500ul fill marks.</w:t>
      </w:r>
    </w:p>
    <w:p w14:paraId="20745689"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Microbiology specimens.</w:t>
      </w:r>
    </w:p>
    <w:p w14:paraId="7101D20D" w14:textId="77777777" w:rsidR="00A51412" w:rsidRPr="00852111" w:rsidRDefault="00A51412" w:rsidP="00A51412">
      <w:pPr>
        <w:numPr>
          <w:ilvl w:val="2"/>
          <w:numId w:val="22"/>
        </w:numPr>
        <w:tabs>
          <w:tab w:val="clear" w:pos="1800"/>
          <w:tab w:val="num" w:pos="2340"/>
        </w:tabs>
        <w:spacing w:after="0" w:line="240" w:lineRule="auto"/>
        <w:ind w:hanging="360"/>
        <w:jc w:val="both"/>
        <w:rPr>
          <w:rFonts w:ascii="Arial" w:hAnsi="Arial" w:cs="Arial"/>
        </w:rPr>
      </w:pPr>
      <w:r w:rsidRPr="00852111">
        <w:rPr>
          <w:rFonts w:ascii="Arial" w:hAnsi="Arial" w:cs="Arial"/>
        </w:rPr>
        <w:t>Urine at room temperature for greater than 1 hour.</w:t>
      </w:r>
    </w:p>
    <w:p w14:paraId="6DE436A1" w14:textId="77777777" w:rsidR="00A51412" w:rsidRPr="00852111" w:rsidRDefault="00A51412" w:rsidP="00A51412">
      <w:pPr>
        <w:numPr>
          <w:ilvl w:val="2"/>
          <w:numId w:val="22"/>
        </w:numPr>
        <w:tabs>
          <w:tab w:val="clear" w:pos="1800"/>
          <w:tab w:val="num" w:pos="2340"/>
        </w:tabs>
        <w:spacing w:after="0" w:line="240" w:lineRule="auto"/>
        <w:ind w:hanging="360"/>
        <w:jc w:val="both"/>
        <w:rPr>
          <w:rFonts w:ascii="Arial" w:hAnsi="Arial" w:cs="Arial"/>
        </w:rPr>
      </w:pPr>
      <w:r w:rsidRPr="00852111">
        <w:rPr>
          <w:rFonts w:ascii="Arial" w:hAnsi="Arial" w:cs="Arial"/>
        </w:rPr>
        <w:t>Sputum at room temperature for greater than 2 hours.</w:t>
      </w:r>
    </w:p>
    <w:p w14:paraId="6710ACB5" w14:textId="77777777" w:rsidR="00A51412" w:rsidRPr="00852111" w:rsidRDefault="00A51412" w:rsidP="00A51412">
      <w:pPr>
        <w:numPr>
          <w:ilvl w:val="2"/>
          <w:numId w:val="22"/>
        </w:numPr>
        <w:tabs>
          <w:tab w:val="clear" w:pos="1800"/>
          <w:tab w:val="num" w:pos="2340"/>
        </w:tabs>
        <w:spacing w:after="0" w:line="240" w:lineRule="auto"/>
        <w:ind w:hanging="360"/>
        <w:jc w:val="both"/>
        <w:rPr>
          <w:rFonts w:ascii="Arial" w:hAnsi="Arial" w:cs="Arial"/>
        </w:rPr>
      </w:pPr>
      <w:r w:rsidRPr="00852111">
        <w:rPr>
          <w:rFonts w:ascii="Arial" w:hAnsi="Arial" w:cs="Arial"/>
        </w:rPr>
        <w:t>External contamination or leakage of specimens.</w:t>
      </w:r>
    </w:p>
    <w:p w14:paraId="05BE7D17" w14:textId="77777777" w:rsidR="00A51412" w:rsidRPr="00852111" w:rsidRDefault="00A51412" w:rsidP="00A51412">
      <w:pPr>
        <w:numPr>
          <w:ilvl w:val="2"/>
          <w:numId w:val="22"/>
        </w:numPr>
        <w:tabs>
          <w:tab w:val="clear" w:pos="1800"/>
          <w:tab w:val="num" w:pos="2340"/>
        </w:tabs>
        <w:spacing w:after="0" w:line="240" w:lineRule="auto"/>
        <w:ind w:hanging="360"/>
        <w:jc w:val="both"/>
        <w:rPr>
          <w:rFonts w:ascii="Arial" w:hAnsi="Arial" w:cs="Arial"/>
        </w:rPr>
      </w:pPr>
      <w:r w:rsidRPr="00852111">
        <w:rPr>
          <w:rFonts w:ascii="Arial" w:hAnsi="Arial" w:cs="Arial"/>
        </w:rPr>
        <w:t>Specimens with no specific collection source</w:t>
      </w:r>
    </w:p>
    <w:p w14:paraId="77D18CF4" w14:textId="77777777" w:rsidR="00A51412" w:rsidRPr="00852111" w:rsidRDefault="00A51412" w:rsidP="00B1728E">
      <w:pPr>
        <w:jc w:val="right"/>
        <w:rPr>
          <w:rFonts w:ascii="Arial" w:hAnsi="Arial" w:cs="Arial"/>
        </w:rPr>
      </w:pPr>
    </w:p>
    <w:p w14:paraId="3D197649" w14:textId="77777777" w:rsidR="00A51412" w:rsidRPr="00852111" w:rsidRDefault="00A51412" w:rsidP="00A51412">
      <w:pPr>
        <w:numPr>
          <w:ilvl w:val="0"/>
          <w:numId w:val="22"/>
        </w:numPr>
        <w:spacing w:after="0" w:line="240" w:lineRule="auto"/>
        <w:ind w:hanging="1080"/>
        <w:rPr>
          <w:rFonts w:ascii="Arial" w:hAnsi="Arial" w:cs="Arial"/>
          <w:b/>
        </w:rPr>
      </w:pPr>
      <w:r w:rsidRPr="00852111">
        <w:rPr>
          <w:rFonts w:ascii="Arial" w:hAnsi="Arial" w:cs="Arial"/>
          <w:b/>
        </w:rPr>
        <w:t>UNACCEPTABLE SPECIMEN/RECOLLECTON PROCEDURE</w:t>
      </w:r>
    </w:p>
    <w:p w14:paraId="47F97890"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The technologist identifies the need for recollection, either because of problems with labeling, specimen integrity (clot, short-sample, hemolysis, etc.,) or for result verification (delta check, questionable results, etc.).</w:t>
      </w:r>
    </w:p>
    <w:p w14:paraId="4892FF42"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 xml:space="preserve">The technologist notifies the nursing unit or physicians’ office of the need to </w:t>
      </w:r>
      <w:proofErr w:type="gramStart"/>
      <w:r w:rsidRPr="00852111">
        <w:rPr>
          <w:rFonts w:ascii="Arial" w:hAnsi="Arial" w:cs="Arial"/>
        </w:rPr>
        <w:t>recollect</w:t>
      </w:r>
      <w:proofErr w:type="gramEnd"/>
      <w:r w:rsidRPr="00852111">
        <w:rPr>
          <w:rFonts w:ascii="Arial" w:hAnsi="Arial" w:cs="Arial"/>
        </w:rPr>
        <w:t xml:space="preserve"> and arrangements are made of whether nursing staff will recollect the sample or if laboratory phlebotomy staff will collect the sample.</w:t>
      </w:r>
    </w:p>
    <w:p w14:paraId="4A5763BD"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The technologist will add a specimen rejection marker in the hospital LIS.</w:t>
      </w:r>
    </w:p>
    <w:p w14:paraId="159A1E8F"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The technologist will cancel the order with a comment documenting the first and last name of the person who was notified for the need to recollect.</w:t>
      </w:r>
    </w:p>
    <w:p w14:paraId="5492FFB5"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The technologist will reorder the test and notify laboratory phlebotomy personnel to recollect if needed.</w:t>
      </w:r>
    </w:p>
    <w:p w14:paraId="26689F98" w14:textId="77777777" w:rsidR="00A51412" w:rsidRPr="00852111" w:rsidRDefault="00A51412" w:rsidP="00A51412">
      <w:pPr>
        <w:numPr>
          <w:ilvl w:val="1"/>
          <w:numId w:val="22"/>
        </w:numPr>
        <w:spacing w:after="0" w:line="240" w:lineRule="auto"/>
        <w:jc w:val="both"/>
        <w:rPr>
          <w:rFonts w:ascii="Arial" w:hAnsi="Arial" w:cs="Arial"/>
        </w:rPr>
      </w:pPr>
      <w:r w:rsidRPr="00852111">
        <w:rPr>
          <w:rFonts w:ascii="Arial" w:hAnsi="Arial" w:cs="Arial"/>
        </w:rPr>
        <w:t>The technologist will fill out a QA report for rejections due to mislabeling.</w:t>
      </w:r>
    </w:p>
    <w:p w14:paraId="33340304" w14:textId="77777777" w:rsidR="00D632D9" w:rsidRDefault="00D632D9" w:rsidP="00D632D9">
      <w:pPr>
        <w:spacing w:after="0" w:line="240" w:lineRule="auto"/>
        <w:ind w:left="720"/>
        <w:rPr>
          <w:rFonts w:ascii="Arial" w:hAnsi="Arial" w:cs="Arial"/>
          <w:b/>
        </w:rPr>
      </w:pPr>
    </w:p>
    <w:p w14:paraId="41FC43D8" w14:textId="6FDE035D" w:rsidR="00A51412" w:rsidRPr="00852111" w:rsidRDefault="00A51412" w:rsidP="00A51412">
      <w:pPr>
        <w:numPr>
          <w:ilvl w:val="0"/>
          <w:numId w:val="22"/>
        </w:numPr>
        <w:spacing w:after="0" w:line="240" w:lineRule="auto"/>
        <w:ind w:hanging="1080"/>
        <w:rPr>
          <w:rFonts w:ascii="Arial" w:hAnsi="Arial" w:cs="Arial"/>
          <w:b/>
        </w:rPr>
      </w:pPr>
      <w:r w:rsidRPr="00852111">
        <w:rPr>
          <w:rFonts w:ascii="Arial" w:hAnsi="Arial" w:cs="Arial"/>
          <w:b/>
        </w:rPr>
        <w:t>PROCEDURAL NOTES</w:t>
      </w:r>
    </w:p>
    <w:p w14:paraId="3ADEF58D" w14:textId="77777777" w:rsidR="00A51412" w:rsidRPr="00852111" w:rsidRDefault="00A51412" w:rsidP="00A51412">
      <w:pPr>
        <w:numPr>
          <w:ilvl w:val="1"/>
          <w:numId w:val="22"/>
        </w:numPr>
        <w:spacing w:after="0" w:line="240" w:lineRule="auto"/>
        <w:jc w:val="both"/>
        <w:rPr>
          <w:rFonts w:ascii="Arial" w:hAnsi="Arial" w:cs="Arial"/>
          <w:b/>
        </w:rPr>
      </w:pPr>
      <w:r w:rsidRPr="00852111">
        <w:rPr>
          <w:rFonts w:ascii="Arial" w:hAnsi="Arial" w:cs="Arial"/>
          <w:b/>
        </w:rPr>
        <w:t>Relabeling Protocol</w:t>
      </w:r>
    </w:p>
    <w:p w14:paraId="217BD945" w14:textId="77777777" w:rsidR="00A51412" w:rsidRPr="00852111" w:rsidRDefault="00A51412" w:rsidP="00A51412">
      <w:pPr>
        <w:numPr>
          <w:ilvl w:val="2"/>
          <w:numId w:val="22"/>
        </w:numPr>
        <w:tabs>
          <w:tab w:val="clear" w:pos="1800"/>
          <w:tab w:val="num" w:pos="2340"/>
        </w:tabs>
        <w:spacing w:after="0" w:line="240" w:lineRule="auto"/>
        <w:ind w:left="2340" w:hanging="900"/>
        <w:jc w:val="both"/>
        <w:rPr>
          <w:rFonts w:ascii="Arial" w:hAnsi="Arial" w:cs="Arial"/>
        </w:rPr>
      </w:pPr>
      <w:r w:rsidRPr="00852111">
        <w:rPr>
          <w:rFonts w:ascii="Arial" w:hAnsi="Arial" w:cs="Arial"/>
        </w:rPr>
        <w:t xml:space="preserve">Unit personnel are not routinely allowed to re-label specimens already received in the laboratory. Exceptions may be granted for specimens that cannot be recollected (CSF, culture collected in surgery, catheter tip for culture, surgical tissue, etc.) or case by case </w:t>
      </w:r>
      <w:r w:rsidRPr="00852111">
        <w:rPr>
          <w:rFonts w:ascii="Arial" w:hAnsi="Arial" w:cs="Arial"/>
        </w:rPr>
        <w:lastRenderedPageBreak/>
        <w:t>exceptions may be requested by the physician, nurse manager, charge nurse or nursing supervisor because of special circumstances.</w:t>
      </w:r>
    </w:p>
    <w:p w14:paraId="274AF2CD" w14:textId="77777777" w:rsidR="00A51412" w:rsidRPr="00852111" w:rsidRDefault="00A51412" w:rsidP="00A51412">
      <w:pPr>
        <w:numPr>
          <w:ilvl w:val="2"/>
          <w:numId w:val="22"/>
        </w:numPr>
        <w:tabs>
          <w:tab w:val="clear" w:pos="1800"/>
          <w:tab w:val="num" w:pos="2340"/>
        </w:tabs>
        <w:spacing w:after="0" w:line="240" w:lineRule="auto"/>
        <w:ind w:left="2340" w:hanging="900"/>
        <w:jc w:val="both"/>
        <w:rPr>
          <w:rFonts w:ascii="Arial" w:hAnsi="Arial" w:cs="Arial"/>
        </w:rPr>
      </w:pPr>
      <w:r w:rsidRPr="00852111">
        <w:rPr>
          <w:rFonts w:ascii="Arial" w:hAnsi="Arial" w:cs="Arial"/>
        </w:rPr>
        <w:t>These requests must be made by the nursing supervisory personnel or the physician directly to the laboratory supervisor or senior tech on duty.</w:t>
      </w:r>
    </w:p>
    <w:p w14:paraId="015167EF" w14:textId="77777777" w:rsidR="00A51412" w:rsidRPr="00852111" w:rsidRDefault="00A51412" w:rsidP="00A51412">
      <w:pPr>
        <w:numPr>
          <w:ilvl w:val="2"/>
          <w:numId w:val="22"/>
        </w:numPr>
        <w:tabs>
          <w:tab w:val="clear" w:pos="1800"/>
          <w:tab w:val="num" w:pos="2340"/>
        </w:tabs>
        <w:spacing w:after="0" w:line="240" w:lineRule="auto"/>
        <w:ind w:left="2340" w:hanging="900"/>
        <w:jc w:val="both"/>
        <w:rPr>
          <w:rFonts w:ascii="Arial" w:hAnsi="Arial" w:cs="Arial"/>
        </w:rPr>
      </w:pPr>
      <w:r w:rsidRPr="00852111">
        <w:rPr>
          <w:rFonts w:ascii="Arial" w:hAnsi="Arial" w:cs="Arial"/>
        </w:rPr>
        <w:t>If the exception request to re-label is granted by the laboratory supervisor, the nursing personnel that collected the specimen must come to the laboratory to identify and re-label the specimen. They must complete and sign a “</w:t>
      </w:r>
      <w:r w:rsidRPr="00852111">
        <w:rPr>
          <w:rFonts w:ascii="Arial" w:hAnsi="Arial" w:cs="Arial"/>
          <w:i/>
        </w:rPr>
        <w:t>Statement of Responsibility for Patient Identification</w:t>
      </w:r>
      <w:r w:rsidRPr="00852111">
        <w:rPr>
          <w:rFonts w:ascii="Arial" w:hAnsi="Arial" w:cs="Arial"/>
        </w:rPr>
        <w:t xml:space="preserve"> form.”</w:t>
      </w:r>
    </w:p>
    <w:p w14:paraId="2B0CFDEA" w14:textId="77777777" w:rsidR="00A51412" w:rsidRPr="00852111" w:rsidRDefault="00A51412" w:rsidP="00A51412">
      <w:pPr>
        <w:numPr>
          <w:ilvl w:val="2"/>
          <w:numId w:val="22"/>
        </w:numPr>
        <w:tabs>
          <w:tab w:val="clear" w:pos="1800"/>
          <w:tab w:val="num" w:pos="2340"/>
        </w:tabs>
        <w:spacing w:after="0" w:line="240" w:lineRule="auto"/>
        <w:ind w:left="2340" w:hanging="900"/>
        <w:jc w:val="both"/>
        <w:rPr>
          <w:rFonts w:ascii="Arial" w:hAnsi="Arial" w:cs="Arial"/>
        </w:rPr>
      </w:pPr>
      <w:r w:rsidRPr="00852111">
        <w:rPr>
          <w:rFonts w:ascii="Arial" w:hAnsi="Arial" w:cs="Arial"/>
        </w:rPr>
        <w:t>When the “</w:t>
      </w:r>
      <w:r w:rsidRPr="00852111">
        <w:rPr>
          <w:rFonts w:ascii="Arial" w:hAnsi="Arial" w:cs="Arial"/>
          <w:i/>
        </w:rPr>
        <w:t>Statement of Responsibility for Patient Identification”</w:t>
      </w:r>
      <w:r w:rsidRPr="00852111">
        <w:rPr>
          <w:rFonts w:ascii="Arial" w:hAnsi="Arial" w:cs="Arial"/>
        </w:rPr>
        <w:t xml:space="preserve"> form is completed, and the specimen is relabeled, the acting laboratory supervisor will accept the specimen for testing on the same form. Appropriate comments in the hospital LIS are added, documenting the specimen mislabeling occurrence.</w:t>
      </w:r>
    </w:p>
    <w:p w14:paraId="57ED3A6E" w14:textId="77777777" w:rsidR="00852111" w:rsidRPr="00852111" w:rsidRDefault="00A51412" w:rsidP="00852111">
      <w:pPr>
        <w:numPr>
          <w:ilvl w:val="2"/>
          <w:numId w:val="22"/>
        </w:numPr>
        <w:tabs>
          <w:tab w:val="clear" w:pos="1800"/>
          <w:tab w:val="num" w:pos="2340"/>
        </w:tabs>
        <w:spacing w:after="0" w:line="240" w:lineRule="auto"/>
        <w:ind w:left="2340" w:hanging="900"/>
        <w:jc w:val="both"/>
        <w:rPr>
          <w:rFonts w:ascii="Arial" w:hAnsi="Arial" w:cs="Arial"/>
        </w:rPr>
      </w:pPr>
      <w:r w:rsidRPr="00852111">
        <w:rPr>
          <w:rFonts w:ascii="Arial" w:hAnsi="Arial" w:cs="Arial"/>
        </w:rPr>
        <w:t>The “</w:t>
      </w:r>
      <w:r w:rsidRPr="00852111">
        <w:rPr>
          <w:rFonts w:ascii="Arial" w:hAnsi="Arial" w:cs="Arial"/>
          <w:i/>
        </w:rPr>
        <w:t>Statement of Responsibility for Patient Identification</w:t>
      </w:r>
      <w:r w:rsidRPr="00852111">
        <w:rPr>
          <w:rFonts w:ascii="Arial" w:hAnsi="Arial" w:cs="Arial"/>
        </w:rPr>
        <w:t>” form, with attached specimen inquiries, are submitted for Laboratory QA documentation and follow up.</w:t>
      </w:r>
    </w:p>
    <w:p w14:paraId="44ED1978" w14:textId="77777777" w:rsidR="00852111" w:rsidRPr="00852111" w:rsidRDefault="00852111" w:rsidP="00852111">
      <w:pPr>
        <w:spacing w:after="0" w:line="240" w:lineRule="auto"/>
        <w:ind w:left="2340"/>
        <w:jc w:val="both"/>
        <w:rPr>
          <w:rFonts w:ascii="Arial" w:hAnsi="Arial" w:cs="Arial"/>
        </w:rPr>
      </w:pPr>
    </w:p>
    <w:p w14:paraId="48353033" w14:textId="42E777D6" w:rsidR="00852111" w:rsidRPr="00852111" w:rsidRDefault="00A51412" w:rsidP="00852111">
      <w:pPr>
        <w:numPr>
          <w:ilvl w:val="0"/>
          <w:numId w:val="22"/>
        </w:numPr>
        <w:spacing w:after="0" w:line="240" w:lineRule="auto"/>
        <w:jc w:val="both"/>
        <w:rPr>
          <w:rFonts w:ascii="Arial" w:hAnsi="Arial" w:cs="Arial"/>
        </w:rPr>
      </w:pPr>
      <w:r w:rsidRPr="00852111">
        <w:rPr>
          <w:rFonts w:ascii="Arial" w:hAnsi="Arial" w:cs="Arial"/>
          <w:b/>
        </w:rPr>
        <w:t>RECORDS</w:t>
      </w:r>
    </w:p>
    <w:p w14:paraId="041DAD5A" w14:textId="77777777" w:rsidR="00852111" w:rsidRPr="00852111" w:rsidRDefault="00A51412" w:rsidP="00852111">
      <w:pPr>
        <w:numPr>
          <w:ilvl w:val="1"/>
          <w:numId w:val="22"/>
        </w:numPr>
        <w:spacing w:after="0" w:line="240" w:lineRule="auto"/>
        <w:rPr>
          <w:rFonts w:ascii="Arial" w:hAnsi="Arial" w:cs="Arial"/>
          <w:b/>
        </w:rPr>
      </w:pPr>
      <w:r w:rsidRPr="00852111">
        <w:rPr>
          <w:rFonts w:ascii="Arial" w:hAnsi="Arial" w:cs="Arial"/>
        </w:rPr>
        <w:t>All rejection and recollection notifications are stored as internal comments in the Hospital LIS.</w:t>
      </w:r>
    </w:p>
    <w:p w14:paraId="0C77DD46" w14:textId="77777777" w:rsidR="00852111" w:rsidRPr="00852111" w:rsidRDefault="00852111" w:rsidP="00852111">
      <w:pPr>
        <w:spacing w:after="0" w:line="240" w:lineRule="auto"/>
        <w:ind w:left="1440"/>
        <w:rPr>
          <w:rFonts w:ascii="Arial" w:hAnsi="Arial" w:cs="Arial"/>
          <w:b/>
        </w:rPr>
      </w:pPr>
    </w:p>
    <w:p w14:paraId="59D0D90E" w14:textId="77777777" w:rsidR="00852111" w:rsidRPr="00852111" w:rsidRDefault="00852111" w:rsidP="00852111">
      <w:pPr>
        <w:spacing w:after="0" w:line="240" w:lineRule="auto"/>
        <w:ind w:left="1440"/>
        <w:rPr>
          <w:rFonts w:ascii="Arial" w:hAnsi="Arial" w:cs="Arial"/>
          <w:b/>
        </w:rPr>
      </w:pPr>
    </w:p>
    <w:p w14:paraId="3EA728FE" w14:textId="77777777" w:rsidR="00852111" w:rsidRPr="00852111" w:rsidRDefault="00852111" w:rsidP="00852111">
      <w:pPr>
        <w:spacing w:after="0" w:line="240" w:lineRule="auto"/>
        <w:ind w:left="1440"/>
        <w:rPr>
          <w:rFonts w:ascii="Arial" w:hAnsi="Arial" w:cs="Arial"/>
          <w:b/>
        </w:rPr>
      </w:pPr>
    </w:p>
    <w:p w14:paraId="2C3DCE54" w14:textId="77777777" w:rsidR="00A51412" w:rsidRPr="00852111" w:rsidRDefault="00A51412" w:rsidP="00A51412">
      <w:pPr>
        <w:tabs>
          <w:tab w:val="left" w:pos="1440"/>
          <w:tab w:val="left" w:pos="2160"/>
          <w:tab w:val="left" w:pos="3240"/>
        </w:tabs>
        <w:rPr>
          <w:rFonts w:ascii="Arial" w:hAnsi="Arial" w:cs="Arial"/>
          <w:b/>
        </w:rPr>
      </w:pPr>
    </w:p>
    <w:p w14:paraId="333B160D" w14:textId="26E06E1E" w:rsidR="00D76DDB" w:rsidRPr="00263814" w:rsidRDefault="00A51412" w:rsidP="00852111">
      <w:pPr>
        <w:tabs>
          <w:tab w:val="left" w:pos="1440"/>
          <w:tab w:val="left" w:pos="2160"/>
          <w:tab w:val="left" w:pos="3240"/>
        </w:tabs>
        <w:rPr>
          <w:sz w:val="24"/>
          <w:szCs w:val="24"/>
        </w:rPr>
      </w:pPr>
      <w:r w:rsidRPr="00852111">
        <w:rPr>
          <w:rFonts w:ascii="Arial" w:hAnsi="Arial" w:cs="Arial"/>
          <w:b/>
        </w:rPr>
        <w:tab/>
      </w:r>
      <w:r w:rsidR="00263814">
        <w:rPr>
          <w:sz w:val="24"/>
          <w:szCs w:val="24"/>
        </w:rPr>
        <w:tab/>
      </w:r>
    </w:p>
    <w:sectPr w:rsidR="00D76DDB" w:rsidRPr="00263814" w:rsidSect="00D64601">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8648" w14:textId="77777777" w:rsidR="00E763E6" w:rsidRDefault="00E763E6" w:rsidP="007E7EE5">
      <w:pPr>
        <w:spacing w:after="0" w:line="240" w:lineRule="auto"/>
      </w:pPr>
      <w:r>
        <w:separator/>
      </w:r>
    </w:p>
  </w:endnote>
  <w:endnote w:type="continuationSeparator" w:id="0">
    <w:p w14:paraId="09E06E03" w14:textId="77777777" w:rsidR="00E763E6" w:rsidRDefault="00E763E6" w:rsidP="007E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6A4C" w14:textId="77777777" w:rsidR="005538A4" w:rsidRDefault="005538A4">
    <w:pPr>
      <w:pStyle w:val="Footer"/>
      <w:jc w:val="right"/>
    </w:pPr>
  </w:p>
  <w:p w14:paraId="2CC2D1BB" w14:textId="79F33E66" w:rsidR="005538A4" w:rsidRDefault="00B1728E">
    <w:pPr>
      <w:pStyle w:val="Footer"/>
    </w:pPr>
    <w:r>
      <w:tab/>
    </w:r>
    <w:r>
      <w:tab/>
    </w:r>
    <w:r>
      <w:tab/>
      <w:t>NB/CE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65221"/>
      <w:docPartObj>
        <w:docPartGallery w:val="Page Numbers (Bottom of Page)"/>
        <w:docPartUnique/>
      </w:docPartObj>
    </w:sdtPr>
    <w:sdtEndPr>
      <w:rPr>
        <w:noProof/>
      </w:rPr>
    </w:sdtEndPr>
    <w:sdtContent>
      <w:p w14:paraId="33291CC5" w14:textId="1B13F0EA" w:rsidR="005538A4" w:rsidRDefault="00B1728E">
        <w:pPr>
          <w:pStyle w:val="Footer"/>
          <w:jc w:val="right"/>
        </w:pPr>
        <w:r>
          <w:t>NB/CE</w:t>
        </w:r>
      </w:p>
    </w:sdtContent>
  </w:sdt>
  <w:p w14:paraId="4B4175E7" w14:textId="77777777" w:rsidR="005538A4" w:rsidRDefault="0055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CDA1" w14:textId="77777777" w:rsidR="00E763E6" w:rsidRDefault="00E763E6" w:rsidP="007E7EE5">
      <w:pPr>
        <w:spacing w:after="0" w:line="240" w:lineRule="auto"/>
      </w:pPr>
      <w:r>
        <w:separator/>
      </w:r>
    </w:p>
  </w:footnote>
  <w:footnote w:type="continuationSeparator" w:id="0">
    <w:p w14:paraId="6587DD87" w14:textId="77777777" w:rsidR="00E763E6" w:rsidRDefault="00E763E6" w:rsidP="007E7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053"/>
      <w:gridCol w:w="5459"/>
    </w:tblGrid>
    <w:tr w:rsidR="005538A4" w14:paraId="5500D35A" w14:textId="77777777" w:rsidTr="009860AE">
      <w:trPr>
        <w:trHeight w:val="452"/>
        <w:jc w:val="center"/>
      </w:trPr>
      <w:tc>
        <w:tcPr>
          <w:tcW w:w="5053" w:type="dxa"/>
          <w:tcBorders>
            <w:top w:val="nil"/>
            <w:left w:val="nil"/>
          </w:tcBorders>
        </w:tcPr>
        <w:p w14:paraId="2F109E28" w14:textId="77777777" w:rsidR="005538A4" w:rsidRDefault="005538A4" w:rsidP="00037E27">
          <w:pPr>
            <w:pStyle w:val="Header"/>
            <w:rPr>
              <w:noProof/>
            </w:rPr>
          </w:pPr>
        </w:p>
      </w:tc>
      <w:tc>
        <w:tcPr>
          <w:tcW w:w="5459" w:type="dxa"/>
        </w:tcPr>
        <w:p w14:paraId="2B902C50" w14:textId="7916C409" w:rsidR="005538A4" w:rsidRPr="009F1F69" w:rsidRDefault="009F1F69" w:rsidP="00037E27">
          <w:pPr>
            <w:pStyle w:val="Header"/>
            <w:tabs>
              <w:tab w:val="clear" w:pos="4680"/>
              <w:tab w:val="clear" w:pos="9360"/>
              <w:tab w:val="left" w:pos="1490"/>
            </w:tabs>
            <w:rPr>
              <w:b/>
              <w:bCs/>
              <w:color w:val="7030A0"/>
              <w:sz w:val="24"/>
              <w:szCs w:val="24"/>
            </w:rPr>
          </w:pPr>
          <w:r w:rsidRPr="009F1F69">
            <w:rPr>
              <w:b/>
              <w:bCs/>
              <w:sz w:val="24"/>
              <w:szCs w:val="24"/>
            </w:rPr>
            <w:t>Guidelines</w:t>
          </w:r>
        </w:p>
      </w:tc>
    </w:tr>
    <w:tr w:rsidR="005538A4" w14:paraId="222E2A97" w14:textId="77777777" w:rsidTr="00E3563B">
      <w:trPr>
        <w:trHeight w:val="422"/>
        <w:jc w:val="center"/>
      </w:trPr>
      <w:tc>
        <w:tcPr>
          <w:tcW w:w="10512" w:type="dxa"/>
          <w:gridSpan w:val="2"/>
          <w:tcBorders>
            <w:left w:val="nil"/>
            <w:right w:val="nil"/>
          </w:tcBorders>
          <w:shd w:val="clear" w:color="auto" w:fill="E3DDEB"/>
          <w:vAlign w:val="center"/>
        </w:tcPr>
        <w:p w14:paraId="1BB8F8D1" w14:textId="77777777" w:rsidR="005538A4" w:rsidRPr="009F1F69" w:rsidRDefault="00A51412" w:rsidP="00B36F53">
          <w:pPr>
            <w:pStyle w:val="Header"/>
            <w:jc w:val="center"/>
            <w:rPr>
              <w:b/>
              <w:bCs/>
              <w:sz w:val="28"/>
              <w:szCs w:val="28"/>
            </w:rPr>
          </w:pPr>
          <w:r w:rsidRPr="009F1F69">
            <w:rPr>
              <w:b/>
              <w:bCs/>
              <w:sz w:val="28"/>
              <w:szCs w:val="28"/>
            </w:rPr>
            <w:t>Specimen Rejection and Recollection</w:t>
          </w:r>
        </w:p>
      </w:tc>
    </w:tr>
  </w:tbl>
  <w:p w14:paraId="6024B354" w14:textId="77777777" w:rsidR="005538A4" w:rsidRDefault="005538A4" w:rsidP="00D64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041"/>
      <w:gridCol w:w="5697"/>
    </w:tblGrid>
    <w:tr w:rsidR="005538A4" w14:paraId="4787269F" w14:textId="77777777" w:rsidTr="00037E27">
      <w:trPr>
        <w:trHeight w:val="452"/>
        <w:jc w:val="center"/>
      </w:trPr>
      <w:tc>
        <w:tcPr>
          <w:tcW w:w="5041" w:type="dxa"/>
          <w:vMerge w:val="restart"/>
          <w:tcBorders>
            <w:top w:val="nil"/>
            <w:left w:val="nil"/>
            <w:right w:val="nil"/>
          </w:tcBorders>
        </w:tcPr>
        <w:p w14:paraId="72FEB27C" w14:textId="77777777" w:rsidR="005538A4" w:rsidRPr="007E7EE5" w:rsidRDefault="005538A4" w:rsidP="00037E27">
          <w:pPr>
            <w:pStyle w:val="Header"/>
            <w:rPr>
              <w:sz w:val="24"/>
              <w:szCs w:val="24"/>
            </w:rPr>
          </w:pPr>
          <w:r>
            <w:rPr>
              <w:rFonts w:ascii="Times New Roman" w:hAnsi="Times New Roman"/>
              <w:noProof/>
              <w:sz w:val="24"/>
              <w:szCs w:val="24"/>
            </w:rPr>
            <w:drawing>
              <wp:anchor distT="36576" distB="36576" distL="36576" distR="36576" simplePos="0" relativeHeight="251659264" behindDoc="0" locked="0" layoutInCell="1" allowOverlap="1" wp14:anchorId="55F946DF" wp14:editId="5720B1F3">
                <wp:simplePos x="0" y="0"/>
                <wp:positionH relativeFrom="column">
                  <wp:posOffset>-157843</wp:posOffset>
                </wp:positionH>
                <wp:positionV relativeFrom="paragraph">
                  <wp:posOffset>-57785</wp:posOffset>
                </wp:positionV>
                <wp:extent cx="3258458" cy="604834"/>
                <wp:effectExtent l="0" t="0" r="0" b="5080"/>
                <wp:wrapNone/>
                <wp:docPr id="4" name="Picture 4" descr="H_C_CSR_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_C_CSR_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458" cy="60483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697" w:type="dxa"/>
          <w:tcBorders>
            <w:top w:val="nil"/>
            <w:left w:val="nil"/>
            <w:right w:val="nil"/>
          </w:tcBorders>
        </w:tcPr>
        <w:p w14:paraId="30124253" w14:textId="77777777" w:rsidR="005538A4" w:rsidRPr="007E7EE5" w:rsidRDefault="005538A4" w:rsidP="00037E27">
          <w:pPr>
            <w:pStyle w:val="Header"/>
            <w:rPr>
              <w:sz w:val="24"/>
              <w:szCs w:val="24"/>
            </w:rPr>
          </w:pPr>
        </w:p>
      </w:tc>
    </w:tr>
    <w:tr w:rsidR="005538A4" w14:paraId="4E6F3013" w14:textId="77777777" w:rsidTr="00037E27">
      <w:trPr>
        <w:trHeight w:val="452"/>
        <w:jc w:val="center"/>
      </w:trPr>
      <w:tc>
        <w:tcPr>
          <w:tcW w:w="5041" w:type="dxa"/>
          <w:vMerge/>
          <w:tcBorders>
            <w:left w:val="nil"/>
          </w:tcBorders>
        </w:tcPr>
        <w:p w14:paraId="26E16BA5" w14:textId="77777777" w:rsidR="005538A4" w:rsidRDefault="005538A4" w:rsidP="00037E27">
          <w:pPr>
            <w:pStyle w:val="Header"/>
            <w:rPr>
              <w:noProof/>
            </w:rPr>
          </w:pPr>
        </w:p>
      </w:tc>
      <w:tc>
        <w:tcPr>
          <w:tcW w:w="5697" w:type="dxa"/>
        </w:tcPr>
        <w:p w14:paraId="30EB502A" w14:textId="52609B87" w:rsidR="005538A4" w:rsidRPr="009F1F69" w:rsidRDefault="009F1F69" w:rsidP="00037E27">
          <w:pPr>
            <w:pStyle w:val="Header"/>
            <w:tabs>
              <w:tab w:val="clear" w:pos="4680"/>
              <w:tab w:val="clear" w:pos="9360"/>
              <w:tab w:val="left" w:pos="1490"/>
            </w:tabs>
            <w:rPr>
              <w:b/>
              <w:bCs/>
              <w:color w:val="7030A0"/>
              <w:sz w:val="24"/>
              <w:szCs w:val="24"/>
            </w:rPr>
          </w:pPr>
          <w:r w:rsidRPr="009F1F69">
            <w:rPr>
              <w:b/>
              <w:bCs/>
              <w:sz w:val="24"/>
              <w:szCs w:val="24"/>
            </w:rPr>
            <w:t>Guidelines</w:t>
          </w:r>
        </w:p>
      </w:tc>
    </w:tr>
    <w:tr w:rsidR="005538A4" w14:paraId="5276CF81" w14:textId="77777777" w:rsidTr="00037E27">
      <w:trPr>
        <w:trHeight w:val="431"/>
        <w:jc w:val="center"/>
      </w:trPr>
      <w:tc>
        <w:tcPr>
          <w:tcW w:w="5041" w:type="dxa"/>
          <w:tcBorders>
            <w:bottom w:val="single" w:sz="4" w:space="0" w:color="auto"/>
          </w:tcBorders>
        </w:tcPr>
        <w:p w14:paraId="1A943A6C" w14:textId="77777777" w:rsidR="005538A4" w:rsidRPr="00932F18" w:rsidRDefault="005538A4" w:rsidP="00810B0F">
          <w:pPr>
            <w:pStyle w:val="Header"/>
            <w:rPr>
              <w:color w:val="7030A0"/>
              <w:sz w:val="24"/>
              <w:szCs w:val="24"/>
            </w:rPr>
          </w:pPr>
          <w:r>
            <w:rPr>
              <w:sz w:val="24"/>
              <w:szCs w:val="24"/>
            </w:rPr>
            <w:t xml:space="preserve">PRIMARY DEPARTMENT: </w:t>
          </w:r>
          <w:r w:rsidRPr="00E3563B">
            <w:rPr>
              <w:sz w:val="24"/>
              <w:szCs w:val="24"/>
            </w:rPr>
            <w:t xml:space="preserve">Laboratory – </w:t>
          </w:r>
          <w:r w:rsidR="001E213B">
            <w:rPr>
              <w:sz w:val="24"/>
              <w:szCs w:val="24"/>
            </w:rPr>
            <w:t>General</w:t>
          </w:r>
        </w:p>
      </w:tc>
      <w:tc>
        <w:tcPr>
          <w:tcW w:w="5697" w:type="dxa"/>
          <w:tcBorders>
            <w:bottom w:val="single" w:sz="4" w:space="0" w:color="auto"/>
          </w:tcBorders>
        </w:tcPr>
        <w:p w14:paraId="4391FBD4" w14:textId="5F3B59D7" w:rsidR="005538A4" w:rsidRPr="00932F18" w:rsidRDefault="005538A4" w:rsidP="00E3563B">
          <w:pPr>
            <w:pStyle w:val="Header"/>
            <w:rPr>
              <w:color w:val="7030A0"/>
              <w:sz w:val="24"/>
              <w:szCs w:val="24"/>
            </w:rPr>
          </w:pPr>
        </w:p>
      </w:tc>
    </w:tr>
    <w:tr w:rsidR="005538A4" w14:paraId="2288F66B" w14:textId="77777777" w:rsidTr="00E3563B">
      <w:trPr>
        <w:trHeight w:val="431"/>
        <w:jc w:val="center"/>
      </w:trPr>
      <w:tc>
        <w:tcPr>
          <w:tcW w:w="10738" w:type="dxa"/>
          <w:gridSpan w:val="2"/>
          <w:tcBorders>
            <w:left w:val="nil"/>
            <w:right w:val="nil"/>
          </w:tcBorders>
          <w:shd w:val="clear" w:color="auto" w:fill="E3DDEB"/>
          <w:vAlign w:val="center"/>
        </w:tcPr>
        <w:p w14:paraId="33035963" w14:textId="77777777" w:rsidR="005538A4" w:rsidRPr="009F1F69" w:rsidRDefault="00A51412" w:rsidP="00E8571C">
          <w:pPr>
            <w:pStyle w:val="Header"/>
            <w:jc w:val="center"/>
            <w:rPr>
              <w:b/>
              <w:bCs/>
              <w:color w:val="7030A0"/>
              <w:sz w:val="28"/>
              <w:szCs w:val="28"/>
            </w:rPr>
          </w:pPr>
          <w:r w:rsidRPr="009F1F69">
            <w:rPr>
              <w:b/>
              <w:bCs/>
              <w:sz w:val="28"/>
              <w:szCs w:val="28"/>
            </w:rPr>
            <w:t>Specimen Rejection and Recollection</w:t>
          </w:r>
        </w:p>
      </w:tc>
    </w:tr>
  </w:tbl>
  <w:p w14:paraId="7B623D56" w14:textId="77777777" w:rsidR="005538A4" w:rsidRDefault="00553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3FF5"/>
    <w:multiLevelType w:val="multilevel"/>
    <w:tmpl w:val="9B5EDA1E"/>
    <w:lvl w:ilvl="0">
      <w:start w:val="1"/>
      <w:numFmt w:val="decimal"/>
      <w:lvlText w:val="%1.0"/>
      <w:lvlJc w:val="left"/>
      <w:pPr>
        <w:tabs>
          <w:tab w:val="num" w:pos="744"/>
        </w:tabs>
        <w:ind w:left="744" w:hanging="744"/>
      </w:pPr>
      <w:rPr>
        <w:rFonts w:hint="default"/>
        <w:b/>
      </w:rPr>
    </w:lvl>
    <w:lvl w:ilvl="1">
      <w:start w:val="1"/>
      <w:numFmt w:val="decimal"/>
      <w:lvlText w:val="%1.%2"/>
      <w:lvlJc w:val="left"/>
      <w:pPr>
        <w:tabs>
          <w:tab w:val="num" w:pos="1464"/>
        </w:tabs>
        <w:ind w:left="1464" w:hanging="744"/>
      </w:pPr>
      <w:rPr>
        <w:rFonts w:hint="default"/>
        <w:b/>
      </w:rPr>
    </w:lvl>
    <w:lvl w:ilvl="2">
      <w:start w:val="1"/>
      <w:numFmt w:val="decimal"/>
      <w:lvlText w:val="%1.%2.%3"/>
      <w:lvlJc w:val="left"/>
      <w:pPr>
        <w:tabs>
          <w:tab w:val="num" w:pos="2184"/>
        </w:tabs>
        <w:ind w:left="2184" w:hanging="744"/>
      </w:pPr>
      <w:rPr>
        <w:rFonts w:ascii="Times New Roman" w:hAnsi="Times New Roman" w:cs="Times New Roman" w:hint="default"/>
        <w:b/>
        <w:sz w:val="24"/>
        <w:szCs w:val="24"/>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E1869D2"/>
    <w:multiLevelType w:val="hybridMultilevel"/>
    <w:tmpl w:val="C332E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76F0A"/>
    <w:multiLevelType w:val="hybridMultilevel"/>
    <w:tmpl w:val="59103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CF2316"/>
    <w:multiLevelType w:val="hybridMultilevel"/>
    <w:tmpl w:val="D6E6D6E2"/>
    <w:lvl w:ilvl="0" w:tplc="C1B6D7AC">
      <w:start w:val="1"/>
      <w:numFmt w:val="upperLetter"/>
      <w:lvlText w:val="%1."/>
      <w:lvlJc w:val="left"/>
      <w:pPr>
        <w:ind w:left="720" w:hanging="360"/>
      </w:pPr>
      <w:rPr>
        <w:rFonts w:hint="default"/>
      </w:rPr>
    </w:lvl>
    <w:lvl w:ilvl="1" w:tplc="57582DBE">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638D3"/>
    <w:multiLevelType w:val="hybridMultilevel"/>
    <w:tmpl w:val="7F0E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50E18"/>
    <w:multiLevelType w:val="hybridMultilevel"/>
    <w:tmpl w:val="EA88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56C3A"/>
    <w:multiLevelType w:val="multilevel"/>
    <w:tmpl w:val="D274398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E01379"/>
    <w:multiLevelType w:val="hybridMultilevel"/>
    <w:tmpl w:val="83C0E86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9661E"/>
    <w:multiLevelType w:val="hybridMultilevel"/>
    <w:tmpl w:val="83C0E86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E2182"/>
    <w:multiLevelType w:val="multilevel"/>
    <w:tmpl w:val="9342D404"/>
    <w:lvl w:ilvl="0">
      <w:start w:val="1"/>
      <w:numFmt w:val="decimal"/>
      <w:lvlText w:val="%1.0"/>
      <w:lvlJc w:val="left"/>
      <w:pPr>
        <w:tabs>
          <w:tab w:val="num" w:pos="720"/>
        </w:tabs>
        <w:ind w:left="720" w:hanging="720"/>
      </w:pPr>
      <w:rPr>
        <w:rFonts w:hint="default"/>
        <w:b/>
        <w:sz w:val="24"/>
        <w:szCs w:val="24"/>
      </w:rPr>
    </w:lvl>
    <w:lvl w:ilvl="1">
      <w:start w:va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120"/>
        </w:tabs>
        <w:ind w:left="6120"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0" w15:restartNumberingAfterBreak="0">
    <w:nsid w:val="395E0E45"/>
    <w:multiLevelType w:val="hybridMultilevel"/>
    <w:tmpl w:val="317853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17D9F"/>
    <w:multiLevelType w:val="hybridMultilevel"/>
    <w:tmpl w:val="469069FE"/>
    <w:lvl w:ilvl="0" w:tplc="4E2C64E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B02AC"/>
    <w:multiLevelType w:val="hybridMultilevel"/>
    <w:tmpl w:val="52F6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E21C3"/>
    <w:multiLevelType w:val="hybridMultilevel"/>
    <w:tmpl w:val="D68C5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E743A"/>
    <w:multiLevelType w:val="hybridMultilevel"/>
    <w:tmpl w:val="3DC0410C"/>
    <w:lvl w:ilvl="0" w:tplc="C1B6D7AC">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72FFB"/>
    <w:multiLevelType w:val="hybridMultilevel"/>
    <w:tmpl w:val="6D98C46A"/>
    <w:lvl w:ilvl="0" w:tplc="9440FB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B12B9"/>
    <w:multiLevelType w:val="hybridMultilevel"/>
    <w:tmpl w:val="DAEAC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05224"/>
    <w:multiLevelType w:val="hybridMultilevel"/>
    <w:tmpl w:val="CE88C9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E4D4B"/>
    <w:multiLevelType w:val="hybridMultilevel"/>
    <w:tmpl w:val="E1228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147D8"/>
    <w:multiLevelType w:val="hybridMultilevel"/>
    <w:tmpl w:val="D4D0CA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F4610"/>
    <w:multiLevelType w:val="hybridMultilevel"/>
    <w:tmpl w:val="24D2E9B4"/>
    <w:lvl w:ilvl="0" w:tplc="00B22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375891"/>
    <w:multiLevelType w:val="multilevel"/>
    <w:tmpl w:val="06F6744C"/>
    <w:lvl w:ilvl="0">
      <w:start w:val="1"/>
      <w:numFmt w:val="decimal"/>
      <w:lvlText w:val="%1.0"/>
      <w:lvlJc w:val="left"/>
      <w:pPr>
        <w:tabs>
          <w:tab w:val="num" w:pos="744"/>
        </w:tabs>
        <w:ind w:left="744" w:hanging="744"/>
      </w:pPr>
      <w:rPr>
        <w:rFonts w:hint="default"/>
        <w:b/>
      </w:rPr>
    </w:lvl>
    <w:lvl w:ilvl="1">
      <w:start w:val="1"/>
      <w:numFmt w:val="decimal"/>
      <w:lvlText w:val="%1.%2"/>
      <w:lvlJc w:val="left"/>
      <w:pPr>
        <w:tabs>
          <w:tab w:val="num" w:pos="1464"/>
        </w:tabs>
        <w:ind w:left="1464" w:hanging="744"/>
      </w:pPr>
      <w:rPr>
        <w:rFonts w:hint="default"/>
        <w:b/>
      </w:rPr>
    </w:lvl>
    <w:lvl w:ilvl="2">
      <w:start w:val="1"/>
      <w:numFmt w:val="decimal"/>
      <w:lvlText w:val="%1.%2.%3"/>
      <w:lvlJc w:val="left"/>
      <w:pPr>
        <w:tabs>
          <w:tab w:val="num" w:pos="2184"/>
        </w:tabs>
        <w:ind w:left="2184" w:hanging="744"/>
      </w:pPr>
      <w:rPr>
        <w:rFonts w:asciiTheme="minorHAnsi" w:hAnsiTheme="minorHAnsi" w:cs="Times New Roman" w:hint="default"/>
        <w:b/>
        <w:sz w:val="24"/>
        <w:szCs w:val="24"/>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D341026"/>
    <w:multiLevelType w:val="hybridMultilevel"/>
    <w:tmpl w:val="F6B080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008270">
    <w:abstractNumId w:val="13"/>
  </w:num>
  <w:num w:numId="2" w16cid:durableId="596795688">
    <w:abstractNumId w:val="18"/>
  </w:num>
  <w:num w:numId="3" w16cid:durableId="1286038210">
    <w:abstractNumId w:val="22"/>
  </w:num>
  <w:num w:numId="4" w16cid:durableId="2031910512">
    <w:abstractNumId w:val="1"/>
  </w:num>
  <w:num w:numId="5" w16cid:durableId="884558482">
    <w:abstractNumId w:val="17"/>
  </w:num>
  <w:num w:numId="6" w16cid:durableId="606543703">
    <w:abstractNumId w:val="7"/>
  </w:num>
  <w:num w:numId="7" w16cid:durableId="1680304750">
    <w:abstractNumId w:val="14"/>
  </w:num>
  <w:num w:numId="8" w16cid:durableId="1741752459">
    <w:abstractNumId w:val="3"/>
  </w:num>
  <w:num w:numId="9" w16cid:durableId="1079787676">
    <w:abstractNumId w:val="11"/>
  </w:num>
  <w:num w:numId="10" w16cid:durableId="259029460">
    <w:abstractNumId w:val="8"/>
  </w:num>
  <w:num w:numId="11" w16cid:durableId="1251310962">
    <w:abstractNumId w:val="10"/>
  </w:num>
  <w:num w:numId="12" w16cid:durableId="734817697">
    <w:abstractNumId w:val="16"/>
  </w:num>
  <w:num w:numId="13" w16cid:durableId="1328511002">
    <w:abstractNumId w:val="19"/>
  </w:num>
  <w:num w:numId="14" w16cid:durableId="1240990143">
    <w:abstractNumId w:val="15"/>
  </w:num>
  <w:num w:numId="15" w16cid:durableId="2042658351">
    <w:abstractNumId w:val="4"/>
  </w:num>
  <w:num w:numId="16" w16cid:durableId="1879076265">
    <w:abstractNumId w:val="21"/>
  </w:num>
  <w:num w:numId="17" w16cid:durableId="296688446">
    <w:abstractNumId w:val="0"/>
  </w:num>
  <w:num w:numId="18" w16cid:durableId="344131646">
    <w:abstractNumId w:val="12"/>
  </w:num>
  <w:num w:numId="19" w16cid:durableId="1069620259">
    <w:abstractNumId w:val="2"/>
  </w:num>
  <w:num w:numId="20" w16cid:durableId="1752893845">
    <w:abstractNumId w:val="5"/>
  </w:num>
  <w:num w:numId="21" w16cid:durableId="1366321809">
    <w:abstractNumId w:val="20"/>
  </w:num>
  <w:num w:numId="22" w16cid:durableId="242493226">
    <w:abstractNumId w:val="9"/>
  </w:num>
  <w:num w:numId="23" w16cid:durableId="1039478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C82A75E-42BF-4F87-B6C3-DFE6FDECDA28}"/>
    <w:docVar w:name="dgnword-eventsink" w:val="110658008"/>
  </w:docVars>
  <w:rsids>
    <w:rsidRoot w:val="007E7EE5"/>
    <w:rsid w:val="00001C64"/>
    <w:rsid w:val="00037E27"/>
    <w:rsid w:val="000573FF"/>
    <w:rsid w:val="00063BA4"/>
    <w:rsid w:val="00077AB7"/>
    <w:rsid w:val="000C5C9E"/>
    <w:rsid w:val="000E38BA"/>
    <w:rsid w:val="00127E66"/>
    <w:rsid w:val="00181557"/>
    <w:rsid w:val="00182D00"/>
    <w:rsid w:val="00185CD0"/>
    <w:rsid w:val="001C5339"/>
    <w:rsid w:val="001E213B"/>
    <w:rsid w:val="001E30DD"/>
    <w:rsid w:val="00263814"/>
    <w:rsid w:val="00267877"/>
    <w:rsid w:val="002753A7"/>
    <w:rsid w:val="00280E37"/>
    <w:rsid w:val="002B11BE"/>
    <w:rsid w:val="002B546E"/>
    <w:rsid w:val="002D3AB4"/>
    <w:rsid w:val="003027D4"/>
    <w:rsid w:val="003139D4"/>
    <w:rsid w:val="003B5B50"/>
    <w:rsid w:val="003F5037"/>
    <w:rsid w:val="00415378"/>
    <w:rsid w:val="00425E7C"/>
    <w:rsid w:val="0046208D"/>
    <w:rsid w:val="00462B31"/>
    <w:rsid w:val="00480A47"/>
    <w:rsid w:val="00494CFA"/>
    <w:rsid w:val="00501D29"/>
    <w:rsid w:val="00502538"/>
    <w:rsid w:val="005538A4"/>
    <w:rsid w:val="00573FF3"/>
    <w:rsid w:val="00651E9F"/>
    <w:rsid w:val="0069178E"/>
    <w:rsid w:val="006B0F34"/>
    <w:rsid w:val="006C52BD"/>
    <w:rsid w:val="006D4BF7"/>
    <w:rsid w:val="00702A9C"/>
    <w:rsid w:val="00732720"/>
    <w:rsid w:val="007B0BB1"/>
    <w:rsid w:val="007B65D9"/>
    <w:rsid w:val="007E7EE5"/>
    <w:rsid w:val="00810B0F"/>
    <w:rsid w:val="00821070"/>
    <w:rsid w:val="00850CD7"/>
    <w:rsid w:val="00852111"/>
    <w:rsid w:val="008658FF"/>
    <w:rsid w:val="00893A5F"/>
    <w:rsid w:val="008E17DD"/>
    <w:rsid w:val="008E6ABF"/>
    <w:rsid w:val="00932F18"/>
    <w:rsid w:val="009512E1"/>
    <w:rsid w:val="00962949"/>
    <w:rsid w:val="009860AE"/>
    <w:rsid w:val="009C47A8"/>
    <w:rsid w:val="009E66AF"/>
    <w:rsid w:val="009F1F69"/>
    <w:rsid w:val="00A363E1"/>
    <w:rsid w:val="00A51412"/>
    <w:rsid w:val="00A5738D"/>
    <w:rsid w:val="00A647C3"/>
    <w:rsid w:val="00A97A2D"/>
    <w:rsid w:val="00AA4BEA"/>
    <w:rsid w:val="00B01673"/>
    <w:rsid w:val="00B1728E"/>
    <w:rsid w:val="00B36F53"/>
    <w:rsid w:val="00B63319"/>
    <w:rsid w:val="00B6683D"/>
    <w:rsid w:val="00B7624E"/>
    <w:rsid w:val="00C021B8"/>
    <w:rsid w:val="00C207CE"/>
    <w:rsid w:val="00C778C0"/>
    <w:rsid w:val="00CD55A1"/>
    <w:rsid w:val="00D010BC"/>
    <w:rsid w:val="00D632D9"/>
    <w:rsid w:val="00D64601"/>
    <w:rsid w:val="00D76DDB"/>
    <w:rsid w:val="00D81E2F"/>
    <w:rsid w:val="00DD4FF4"/>
    <w:rsid w:val="00E00151"/>
    <w:rsid w:val="00E23B64"/>
    <w:rsid w:val="00E34127"/>
    <w:rsid w:val="00E3563B"/>
    <w:rsid w:val="00E763E6"/>
    <w:rsid w:val="00E8571C"/>
    <w:rsid w:val="00EC1352"/>
    <w:rsid w:val="00ED1A0F"/>
    <w:rsid w:val="00F0260E"/>
    <w:rsid w:val="00F20A81"/>
    <w:rsid w:val="00F33495"/>
    <w:rsid w:val="00F5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4F559"/>
  <w15:docId w15:val="{FEE2A80C-36EA-41CD-834D-FC8876C3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E5"/>
  </w:style>
  <w:style w:type="paragraph" w:styleId="Footer">
    <w:name w:val="footer"/>
    <w:basedOn w:val="Normal"/>
    <w:link w:val="FooterChar"/>
    <w:uiPriority w:val="99"/>
    <w:unhideWhenUsed/>
    <w:rsid w:val="007E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E5"/>
  </w:style>
  <w:style w:type="paragraph" w:styleId="BalloonText">
    <w:name w:val="Balloon Text"/>
    <w:basedOn w:val="Normal"/>
    <w:link w:val="BalloonTextChar"/>
    <w:uiPriority w:val="99"/>
    <w:semiHidden/>
    <w:unhideWhenUsed/>
    <w:rsid w:val="007E7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EE5"/>
    <w:rPr>
      <w:rFonts w:ascii="Tahoma" w:hAnsi="Tahoma" w:cs="Tahoma"/>
      <w:sz w:val="16"/>
      <w:szCs w:val="16"/>
    </w:rPr>
  </w:style>
  <w:style w:type="table" w:styleId="TableGrid">
    <w:name w:val="Table Grid"/>
    <w:basedOn w:val="TableNormal"/>
    <w:uiPriority w:val="59"/>
    <w:rsid w:val="007E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81E2F"/>
    <w:pPr>
      <w:ind w:left="720"/>
      <w:contextualSpacing/>
    </w:pPr>
  </w:style>
  <w:style w:type="paragraph" w:styleId="PlainText">
    <w:name w:val="Plain Text"/>
    <w:basedOn w:val="Normal"/>
    <w:link w:val="PlainTextChar"/>
    <w:uiPriority w:val="99"/>
    <w:semiHidden/>
    <w:unhideWhenUsed/>
    <w:rsid w:val="0026787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6787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2379">
      <w:bodyDiv w:val="1"/>
      <w:marLeft w:val="0"/>
      <w:marRight w:val="0"/>
      <w:marTop w:val="0"/>
      <w:marBottom w:val="0"/>
      <w:divBdr>
        <w:top w:val="none" w:sz="0" w:space="0" w:color="auto"/>
        <w:left w:val="none" w:sz="0" w:space="0" w:color="auto"/>
        <w:bottom w:val="none" w:sz="0" w:space="0" w:color="auto"/>
        <w:right w:val="none" w:sz="0" w:space="0" w:color="auto"/>
      </w:divBdr>
    </w:div>
    <w:div w:id="1225290953">
      <w:bodyDiv w:val="1"/>
      <w:marLeft w:val="0"/>
      <w:marRight w:val="0"/>
      <w:marTop w:val="0"/>
      <w:marBottom w:val="0"/>
      <w:divBdr>
        <w:top w:val="none" w:sz="0" w:space="0" w:color="auto"/>
        <w:left w:val="none" w:sz="0" w:space="0" w:color="auto"/>
        <w:bottom w:val="none" w:sz="0" w:space="0" w:color="auto"/>
        <w:right w:val="none" w:sz="0" w:space="0" w:color="auto"/>
      </w:divBdr>
    </w:div>
    <w:div w:id="13547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PAA xmlns="f10f4f3a-2ed6-4a76-9810-530121374c45">false</HIPA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249886903BA4390EA2CD9A8786158" ma:contentTypeVersion="3" ma:contentTypeDescription="Create a new document." ma:contentTypeScope="" ma:versionID="e0064fd736a273ab0fe03e78b4a598a2">
  <xsd:schema xmlns:xsd="http://www.w3.org/2001/XMLSchema" xmlns:xs="http://www.w3.org/2001/XMLSchema" xmlns:p="http://schemas.microsoft.com/office/2006/metadata/properties" xmlns:ns2="f10f4f3a-2ed6-4a76-9810-530121374c45" targetNamespace="http://schemas.microsoft.com/office/2006/metadata/properties" ma:root="true" ma:fieldsID="3df86d042daaf320ed5f215049250981" ns2:_="">
    <xsd:import namespace="f10f4f3a-2ed6-4a76-9810-530121374c45"/>
    <xsd:element name="properties">
      <xsd:complexType>
        <xsd:sequence>
          <xsd:element name="documentManagement">
            <xsd:complexType>
              <xsd:all>
                <xsd:element ref="ns2:HIP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f4f3a-2ed6-4a76-9810-530121374c45" elementFormDefault="qualified">
    <xsd:import namespace="http://schemas.microsoft.com/office/2006/documentManagement/types"/>
    <xsd:import namespace="http://schemas.microsoft.com/office/infopath/2007/PartnerControls"/>
    <xsd:element name="HIPAA" ma:index="8" nillable="true" ma:displayName="HIPAA" ma:description="Use this flag to indicate that this document is HIPAA related." ma:indexed="true" ma:internalName="HIPAA"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0A315-A427-492D-922E-393CC760F4E2}">
  <ds:schemaRefs>
    <ds:schemaRef ds:uri="http://schemas.microsoft.com/sharepoint/v3/contenttype/forms"/>
  </ds:schemaRefs>
</ds:datastoreItem>
</file>

<file path=customXml/itemProps2.xml><?xml version="1.0" encoding="utf-8"?>
<ds:datastoreItem xmlns:ds="http://schemas.openxmlformats.org/officeDocument/2006/customXml" ds:itemID="{37107C0E-6149-46E4-AC0F-DBEC20C068F3}">
  <ds:schemaRefs>
    <ds:schemaRef ds:uri="http://www.w3.org/XML/1998/namespace"/>
    <ds:schemaRef ds:uri="http://schemas.microsoft.com/office/2006/metadata/properties"/>
    <ds:schemaRef ds:uri="http://purl.org/dc/dcmitype/"/>
    <ds:schemaRef ds:uri="http://purl.org/dc/elements/1.1/"/>
    <ds:schemaRef ds:uri="f10f4f3a-2ed6-4a76-9810-530121374c45"/>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E22550E-580B-48FA-838B-4246C165E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f4f3a-2ed6-4a76-9810-53012137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 for Policies Procedures and Guidelines - CSRHS</vt:lpstr>
    </vt:vector>
  </TitlesOfParts>
  <Company>CHRISTUS Health</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Policies Procedures and Guidelines - CSRHS</dc:title>
  <dc:creator>Carlton, Lisa</dc:creator>
  <cp:lastModifiedBy>Austin, Nathalie L.</cp:lastModifiedBy>
  <cp:revision>3</cp:revision>
  <cp:lastPrinted>2017-04-28T17:19:00Z</cp:lastPrinted>
  <dcterms:created xsi:type="dcterms:W3CDTF">2024-02-14T23:11:00Z</dcterms:created>
  <dcterms:modified xsi:type="dcterms:W3CDTF">2024-02-14T23:12:00Z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0x010100FFA249886903BA4390EA2CD9A8786158</vt:lpwstr>
  </property>
</Properties>
</file>