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7E54" w14:textId="77777777" w:rsidR="00DF7824" w:rsidRDefault="00DF7824" w:rsidP="00DF7824">
      <w:pPr>
        <w:pStyle w:val="xxmso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> </w:t>
      </w:r>
    </w:p>
    <w:p w14:paraId="6A34D369" w14:textId="1311593E" w:rsidR="00CF79C0" w:rsidRDefault="00957626" w:rsidP="00A831F9">
      <w:pPr>
        <w:pStyle w:val="xxmso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3913">
        <w:t>12/01</w:t>
      </w:r>
      <w:r>
        <w:t>/2021</w:t>
      </w:r>
    </w:p>
    <w:p w14:paraId="543EFBDC" w14:textId="77777777" w:rsidR="00CF79C0" w:rsidRDefault="00CF79C0" w:rsidP="00A831F9">
      <w:pPr>
        <w:pStyle w:val="xxmsonormal"/>
      </w:pPr>
    </w:p>
    <w:p w14:paraId="30AE34FD" w14:textId="77777777" w:rsidR="00CF79C0" w:rsidRDefault="00CF79C0" w:rsidP="00A831F9">
      <w:pPr>
        <w:pStyle w:val="xxmsonormal"/>
      </w:pPr>
    </w:p>
    <w:p w14:paraId="034153D3" w14:textId="0F50FAB2" w:rsidR="00A831F9" w:rsidRPr="00A831F9" w:rsidRDefault="00A831F9" w:rsidP="00A831F9">
      <w:pPr>
        <w:pStyle w:val="xxmsonormal"/>
      </w:pPr>
      <w:r w:rsidRPr="00A831F9">
        <w:t>Dear CBDI Clinical Laboratory Clients:</w:t>
      </w:r>
    </w:p>
    <w:p w14:paraId="7C3977DA" w14:textId="77777777" w:rsidR="00A831F9" w:rsidRPr="00A831F9" w:rsidRDefault="00A831F9" w:rsidP="00A831F9">
      <w:pPr>
        <w:pStyle w:val="xxmsonormal"/>
      </w:pPr>
      <w:r w:rsidRPr="00A831F9">
        <w:t> </w:t>
      </w:r>
    </w:p>
    <w:p w14:paraId="43B7DADC" w14:textId="7594BFCF" w:rsidR="00A831F9" w:rsidRPr="00A831F9" w:rsidRDefault="00A831F9" w:rsidP="00A831F9">
      <w:pPr>
        <w:pStyle w:val="xxmsonormal"/>
      </w:pPr>
      <w:r w:rsidRPr="00A831F9">
        <w:t xml:space="preserve">This notice is to alert you to a change in the reference ranges for the </w:t>
      </w:r>
      <w:r w:rsidR="00FF73A4">
        <w:t>Mitogen</w:t>
      </w:r>
      <w:r w:rsidRPr="00A831F9">
        <w:t xml:space="preserve"> Assay (</w:t>
      </w:r>
      <w:r w:rsidR="00021DE6">
        <w:t>Mitogen Stimulation</w:t>
      </w:r>
      <w:r w:rsidRPr="00A831F9">
        <w:t>, Test #290</w:t>
      </w:r>
      <w:r w:rsidR="00FF73A4">
        <w:t>10</w:t>
      </w:r>
      <w:r w:rsidRPr="00A831F9">
        <w:t xml:space="preserve">00), </w:t>
      </w:r>
      <w:r w:rsidR="00F95138">
        <w:t xml:space="preserve">and to the Antigen Assay (Test #2903000) </w:t>
      </w:r>
      <w:r w:rsidRPr="00A831F9">
        <w:t xml:space="preserve">effective </w:t>
      </w:r>
      <w:r w:rsidR="00853913">
        <w:t>12/01</w:t>
      </w:r>
      <w:r w:rsidR="00FF73A4">
        <w:t>/2021</w:t>
      </w:r>
      <w:r w:rsidRPr="00A831F9">
        <w:t xml:space="preserve">.  The new ranges </w:t>
      </w:r>
      <w:r w:rsidR="00FF73A4">
        <w:t>for all mitogens</w:t>
      </w:r>
      <w:r w:rsidR="00F95138">
        <w:t xml:space="preserve"> and antigens</w:t>
      </w:r>
      <w:r w:rsidRPr="00A831F9">
        <w:t xml:space="preserve"> are featured in the table</w:t>
      </w:r>
      <w:r w:rsidR="00F95138">
        <w:t>s</w:t>
      </w:r>
      <w:r w:rsidRPr="00A831F9">
        <w:t xml:space="preserve"> below.  Notification of these changes will also be reflected on the individual result reports that you will receive.  </w:t>
      </w:r>
    </w:p>
    <w:p w14:paraId="7F5413A4" w14:textId="77777777" w:rsidR="00A831F9" w:rsidRPr="00A831F9" w:rsidRDefault="00A831F9" w:rsidP="00A831F9">
      <w:pPr>
        <w:pStyle w:val="xxmsonormal"/>
      </w:pPr>
      <w:r w:rsidRPr="00A831F9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</w:tblGrid>
      <w:tr w:rsidR="00FF73A4" w14:paraId="718215D5" w14:textId="77777777" w:rsidTr="00FF73A4">
        <w:tc>
          <w:tcPr>
            <w:tcW w:w="2245" w:type="dxa"/>
            <w:shd w:val="clear" w:color="auto" w:fill="B4C6E7" w:themeFill="accent1" w:themeFillTint="66"/>
          </w:tcPr>
          <w:p w14:paraId="778C0B5F" w14:textId="5451100C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Mitogen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529D2430" w14:textId="60D81198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Result</w:t>
            </w:r>
          </w:p>
        </w:tc>
      </w:tr>
      <w:tr w:rsidR="00FF73A4" w14:paraId="321CD671" w14:textId="77777777" w:rsidTr="00FF73A4">
        <w:tc>
          <w:tcPr>
            <w:tcW w:w="2245" w:type="dxa"/>
          </w:tcPr>
          <w:p w14:paraId="268C88C3" w14:textId="7396B2A1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Spontaneous</w:t>
            </w:r>
          </w:p>
        </w:tc>
        <w:tc>
          <w:tcPr>
            <w:tcW w:w="2160" w:type="dxa"/>
          </w:tcPr>
          <w:p w14:paraId="78676865" w14:textId="1D52A948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613EF1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FF73A4" w14:paraId="172B0680" w14:textId="77777777" w:rsidTr="00FF73A4">
        <w:tc>
          <w:tcPr>
            <w:tcW w:w="2245" w:type="dxa"/>
          </w:tcPr>
          <w:p w14:paraId="175B6852" w14:textId="03A62BED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</w:t>
            </w:r>
          </w:p>
        </w:tc>
        <w:tc>
          <w:tcPr>
            <w:tcW w:w="2160" w:type="dxa"/>
          </w:tcPr>
          <w:p w14:paraId="28BDDF44" w14:textId="33F617F5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120048</w:t>
            </w:r>
          </w:p>
        </w:tc>
      </w:tr>
      <w:tr w:rsidR="00FF73A4" w14:paraId="6424A441" w14:textId="77777777" w:rsidTr="00FF73A4">
        <w:tc>
          <w:tcPr>
            <w:tcW w:w="2245" w:type="dxa"/>
          </w:tcPr>
          <w:p w14:paraId="68A52B53" w14:textId="361F6829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ConA</w:t>
            </w:r>
          </w:p>
        </w:tc>
        <w:tc>
          <w:tcPr>
            <w:tcW w:w="2160" w:type="dxa"/>
          </w:tcPr>
          <w:p w14:paraId="237BEC4A" w14:textId="4E24AE22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FF73A4">
              <w:rPr>
                <w:rFonts w:ascii="Times New Roman" w:hAnsi="Times New Roman" w:cs="Times New Roman"/>
                <w:sz w:val="24"/>
                <w:szCs w:val="24"/>
              </w:rPr>
              <w:t>75461</w:t>
            </w:r>
          </w:p>
        </w:tc>
      </w:tr>
      <w:tr w:rsidR="00FF73A4" w14:paraId="05A0BC4E" w14:textId="77777777" w:rsidTr="00FF73A4">
        <w:tc>
          <w:tcPr>
            <w:tcW w:w="2245" w:type="dxa"/>
          </w:tcPr>
          <w:p w14:paraId="6CBE357E" w14:textId="363987F0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PWM</w:t>
            </w:r>
          </w:p>
        </w:tc>
        <w:tc>
          <w:tcPr>
            <w:tcW w:w="2160" w:type="dxa"/>
          </w:tcPr>
          <w:p w14:paraId="5817017B" w14:textId="27B11F94" w:rsidR="00FF73A4" w:rsidRDefault="00FF73A4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73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FF73A4">
              <w:rPr>
                <w:rFonts w:ascii="Times New Roman" w:hAnsi="Times New Roman" w:cs="Times New Roman"/>
                <w:sz w:val="24"/>
                <w:szCs w:val="24"/>
              </w:rPr>
              <w:t>23643</w:t>
            </w:r>
          </w:p>
        </w:tc>
      </w:tr>
    </w:tbl>
    <w:p w14:paraId="45CD4921" w14:textId="72D2CFF4" w:rsidR="00485ED4" w:rsidRDefault="00485ED4" w:rsidP="00DF7824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  <w:gridCol w:w="2250"/>
      </w:tblGrid>
      <w:tr w:rsidR="00FD787C" w14:paraId="012645F6" w14:textId="4A06F857" w:rsidTr="00113D3F">
        <w:tc>
          <w:tcPr>
            <w:tcW w:w="2245" w:type="dxa"/>
            <w:shd w:val="clear" w:color="auto" w:fill="B4C6E7" w:themeFill="accent1" w:themeFillTint="66"/>
          </w:tcPr>
          <w:p w14:paraId="0E53712E" w14:textId="0522A4B8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Antigen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65EF1874" w14:textId="77777777" w:rsidR="00113D3F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Range </w:t>
            </w:r>
          </w:p>
          <w:p w14:paraId="32299AD9" w14:textId="5891A18A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2250" w:type="dxa"/>
            <w:shd w:val="clear" w:color="auto" w:fill="B4C6E7" w:themeFill="accent1" w:themeFillTint="66"/>
          </w:tcPr>
          <w:p w14:paraId="6775D4F3" w14:textId="77777777" w:rsidR="00113D3F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Range </w:t>
            </w:r>
          </w:p>
          <w:p w14:paraId="0871F468" w14:textId="2089F482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</w:t>
            </w:r>
          </w:p>
        </w:tc>
      </w:tr>
      <w:tr w:rsidR="00FD787C" w14:paraId="01166D78" w14:textId="16B9E23F" w:rsidTr="00113D3F">
        <w:tc>
          <w:tcPr>
            <w:tcW w:w="2245" w:type="dxa"/>
          </w:tcPr>
          <w:p w14:paraId="34569AA7" w14:textId="6C542A23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Spontaneous</w:t>
            </w:r>
          </w:p>
        </w:tc>
        <w:tc>
          <w:tcPr>
            <w:tcW w:w="2160" w:type="dxa"/>
          </w:tcPr>
          <w:p w14:paraId="7977B98E" w14:textId="097D7BD7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613EF1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250" w:type="dxa"/>
          </w:tcPr>
          <w:p w14:paraId="742941A8" w14:textId="5836102F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613EF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FD787C" w14:paraId="028D1462" w14:textId="6DC8C1C4" w:rsidTr="00113D3F">
        <w:tc>
          <w:tcPr>
            <w:tcW w:w="2245" w:type="dxa"/>
          </w:tcPr>
          <w:p w14:paraId="54724D9D" w14:textId="7729CD57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</w:p>
        </w:tc>
        <w:tc>
          <w:tcPr>
            <w:tcW w:w="2160" w:type="dxa"/>
          </w:tcPr>
          <w:p w14:paraId="401862A4" w14:textId="70C17149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16759</w:t>
            </w:r>
          </w:p>
        </w:tc>
        <w:tc>
          <w:tcPr>
            <w:tcW w:w="2250" w:type="dxa"/>
          </w:tcPr>
          <w:p w14:paraId="49BE603B" w14:textId="105DBC5B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8724</w:t>
            </w:r>
          </w:p>
        </w:tc>
      </w:tr>
      <w:tr w:rsidR="00FD787C" w14:paraId="6C7D42D8" w14:textId="277EA428" w:rsidTr="00113D3F">
        <w:tc>
          <w:tcPr>
            <w:tcW w:w="2245" w:type="dxa"/>
          </w:tcPr>
          <w:p w14:paraId="7953AF2B" w14:textId="22524035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Tetanus</w:t>
            </w:r>
          </w:p>
        </w:tc>
        <w:tc>
          <w:tcPr>
            <w:tcW w:w="2160" w:type="dxa"/>
          </w:tcPr>
          <w:p w14:paraId="1A73EDFA" w14:textId="02C2D6EA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8293</w:t>
            </w:r>
          </w:p>
        </w:tc>
        <w:tc>
          <w:tcPr>
            <w:tcW w:w="2250" w:type="dxa"/>
          </w:tcPr>
          <w:p w14:paraId="406C5B83" w14:textId="230CA850" w:rsidR="00FD787C" w:rsidRDefault="00FD787C" w:rsidP="00DF7824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</w:tc>
      </w:tr>
    </w:tbl>
    <w:p w14:paraId="1C80A6A0" w14:textId="77777777" w:rsidR="00F95138" w:rsidRDefault="00F95138" w:rsidP="00DF7824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24EE36FD" w14:textId="1313E259" w:rsidR="00CF79C0" w:rsidRPr="00670FEA" w:rsidRDefault="00670FEA" w:rsidP="00DF7824">
      <w:pPr>
        <w:pStyle w:val="xxmsonormal"/>
        <w:rPr>
          <w:rFonts w:asciiTheme="minorHAnsi" w:hAnsiTheme="minorHAnsi" w:cstheme="minorHAnsi"/>
        </w:rPr>
      </w:pPr>
      <w:r w:rsidRPr="00670FEA">
        <w:rPr>
          <w:rFonts w:asciiTheme="minorHAnsi" w:hAnsiTheme="minorHAnsi" w:cstheme="minorHAnsi"/>
        </w:rPr>
        <w:lastRenderedPageBreak/>
        <w:t>The Mitogen Stimulation assay</w:t>
      </w:r>
      <w:r w:rsidR="00F95138">
        <w:rPr>
          <w:rFonts w:asciiTheme="minorHAnsi" w:hAnsiTheme="minorHAnsi" w:cstheme="minorHAnsi"/>
        </w:rPr>
        <w:t xml:space="preserve"> and Antigen Assay are</w:t>
      </w:r>
      <w:r w:rsidRPr="00670F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processed</w:t>
      </w:r>
      <w:r w:rsidRPr="00670FEA">
        <w:rPr>
          <w:rFonts w:asciiTheme="minorHAnsi" w:hAnsiTheme="minorHAnsi" w:cstheme="minorHAnsi"/>
        </w:rPr>
        <w:t xml:space="preserve"> Monday-Friday (not including Holidays). We recommend packages be shipped priority overnight for first delivery. </w:t>
      </w:r>
    </w:p>
    <w:p w14:paraId="7B1E51E5" w14:textId="77777777" w:rsidR="00DF7824" w:rsidRDefault="00DF7824" w:rsidP="00DF7824">
      <w:pPr>
        <w:pStyle w:val="xxmsonormal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79DDEE28" w14:textId="5EF4C619" w:rsidR="00A831F9" w:rsidRPr="00A831F9" w:rsidRDefault="00A831F9" w:rsidP="00A831F9">
      <w:r w:rsidRPr="00A831F9">
        <w:t>Please feel free to contact us if you have any questions</w:t>
      </w:r>
      <w:r w:rsidR="00021DE6">
        <w:t>.</w:t>
      </w:r>
    </w:p>
    <w:p w14:paraId="52067C60" w14:textId="77777777" w:rsidR="00A831F9" w:rsidRPr="00A831F9" w:rsidRDefault="00A831F9" w:rsidP="00A831F9">
      <w:r w:rsidRPr="00A831F9">
        <w:t> </w:t>
      </w:r>
    </w:p>
    <w:p w14:paraId="5DDE54DA" w14:textId="77777777" w:rsidR="00A831F9" w:rsidRPr="00A831F9" w:rsidRDefault="00A831F9" w:rsidP="00A831F9">
      <w:r w:rsidRPr="00A831F9">
        <w:t>Thank You,</w:t>
      </w:r>
      <w:r w:rsidRPr="00A831F9">
        <w:br/>
        <w:t>The Cincinnati Children's Diagnostic Immunology Laboratory</w:t>
      </w:r>
    </w:p>
    <w:p w14:paraId="46EADAD2" w14:textId="7C3D6E73" w:rsidR="00E4597E" w:rsidRDefault="00E4597E" w:rsidP="00DF7824"/>
    <w:p w14:paraId="5A4E2C7B" w14:textId="77777777" w:rsidR="00630C64" w:rsidRDefault="00630C64" w:rsidP="00630C64">
      <w:pPr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7F7F7F"/>
          <w:sz w:val="17"/>
          <w:szCs w:val="17"/>
        </w:rPr>
        <w:t>The Diagnostic Laboratories at Cincinnati Children's</w:t>
      </w:r>
    </w:p>
    <w:p w14:paraId="040D4F64" w14:textId="77777777" w:rsidR="00630C64" w:rsidRDefault="00630C64" w:rsidP="00630C64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7F7F7F"/>
          <w:sz w:val="17"/>
          <w:szCs w:val="17"/>
        </w:rPr>
        <w:t>Phone 513.636.4685 | Fax 513.636.3861 | Email: CBDILabs@cchmc.org</w:t>
      </w:r>
    </w:p>
    <w:p w14:paraId="0DAB679A" w14:textId="77777777" w:rsidR="00630C64" w:rsidRDefault="00630C64" w:rsidP="00630C64">
      <w:pPr>
        <w:rPr>
          <w:color w:val="000000"/>
          <w:sz w:val="24"/>
          <w:szCs w:val="24"/>
        </w:rPr>
      </w:pPr>
      <w:r>
        <w:rPr>
          <w:rFonts w:ascii="Arial" w:hAnsi="Arial" w:cs="Arial"/>
          <w:color w:val="7F7F7F"/>
          <w:sz w:val="17"/>
          <w:szCs w:val="17"/>
        </w:rPr>
        <w:t>3333 Burnet Avenue | R2328 | Cincinnati, Ohio 45229-3039</w:t>
      </w:r>
    </w:p>
    <w:p w14:paraId="03B2423C" w14:textId="77777777" w:rsidR="00630C64" w:rsidRDefault="00D464E7" w:rsidP="00630C64">
      <w:pPr>
        <w:rPr>
          <w:color w:val="000000"/>
          <w:sz w:val="24"/>
          <w:szCs w:val="24"/>
        </w:rPr>
      </w:pPr>
      <w:hyperlink r:id="rId7" w:history="1">
        <w:r w:rsidR="00630C64">
          <w:rPr>
            <w:rStyle w:val="Hyperlink"/>
            <w:rFonts w:ascii="Arial" w:hAnsi="Arial" w:cs="Arial"/>
            <w:sz w:val="17"/>
            <w:szCs w:val="17"/>
          </w:rPr>
          <w:t>www.cincinnatichildrens.org/DIL</w:t>
        </w:r>
      </w:hyperlink>
      <w:r w:rsidR="00630C64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6677BD51" w14:textId="77777777" w:rsidR="00630C64" w:rsidRPr="00DF7824" w:rsidRDefault="00630C64" w:rsidP="00DF7824"/>
    <w:sectPr w:rsidR="00630C64" w:rsidRPr="00DF78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9A275" w14:textId="77777777" w:rsidR="00D464E7" w:rsidRDefault="00D464E7" w:rsidP="00530254">
      <w:r>
        <w:separator/>
      </w:r>
    </w:p>
  </w:endnote>
  <w:endnote w:type="continuationSeparator" w:id="0">
    <w:p w14:paraId="4E36B1C8" w14:textId="77777777" w:rsidR="00D464E7" w:rsidRDefault="00D464E7" w:rsidP="0053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68339" w14:textId="77777777" w:rsidR="00D464E7" w:rsidRDefault="00D464E7" w:rsidP="00530254">
      <w:r>
        <w:separator/>
      </w:r>
    </w:p>
  </w:footnote>
  <w:footnote w:type="continuationSeparator" w:id="0">
    <w:p w14:paraId="5E5491C6" w14:textId="77777777" w:rsidR="00D464E7" w:rsidRDefault="00D464E7" w:rsidP="0053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313D2" w14:textId="6B57DC29" w:rsidR="00530254" w:rsidRPr="00CF79C0" w:rsidRDefault="00CF79C0" w:rsidP="00CF79C0">
    <w:pPr>
      <w:pStyle w:val="Header"/>
      <w:jc w:val="center"/>
    </w:pPr>
    <w:r>
      <w:rPr>
        <w:noProof/>
      </w:rPr>
      <w:drawing>
        <wp:inline distT="0" distB="0" distL="0" distR="0" wp14:anchorId="24A60E67" wp14:editId="1183427D">
          <wp:extent cx="1999306" cy="673100"/>
          <wp:effectExtent l="0" t="0" r="762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newz9z:Library:Caches:TemporaryItems:Outlook Temp:Letterhead_Maureen:_UC Affiliated Employee:106541_Business Suite_Letterheads_Department_Etc_UC Lockup_Revised:Links:CCHMC_CBI_TAG_CMYK_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9306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41F77"/>
    <w:multiLevelType w:val="multilevel"/>
    <w:tmpl w:val="8C7A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9377C"/>
    <w:multiLevelType w:val="multilevel"/>
    <w:tmpl w:val="830A8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24"/>
    <w:rsid w:val="00021DE6"/>
    <w:rsid w:val="00113D3F"/>
    <w:rsid w:val="001268E9"/>
    <w:rsid w:val="002316C4"/>
    <w:rsid w:val="00251120"/>
    <w:rsid w:val="00271926"/>
    <w:rsid w:val="00284B64"/>
    <w:rsid w:val="002F5A91"/>
    <w:rsid w:val="00414737"/>
    <w:rsid w:val="00485ED4"/>
    <w:rsid w:val="00530254"/>
    <w:rsid w:val="00576AAA"/>
    <w:rsid w:val="00613EF1"/>
    <w:rsid w:val="0062450B"/>
    <w:rsid w:val="00630C64"/>
    <w:rsid w:val="00670FEA"/>
    <w:rsid w:val="007E0FC6"/>
    <w:rsid w:val="00853913"/>
    <w:rsid w:val="00905271"/>
    <w:rsid w:val="00957626"/>
    <w:rsid w:val="009E0F5E"/>
    <w:rsid w:val="00A831F9"/>
    <w:rsid w:val="00B618D7"/>
    <w:rsid w:val="00B80BEE"/>
    <w:rsid w:val="00C262EE"/>
    <w:rsid w:val="00CF79C0"/>
    <w:rsid w:val="00D464E7"/>
    <w:rsid w:val="00D62637"/>
    <w:rsid w:val="00DA4ECF"/>
    <w:rsid w:val="00DF7824"/>
    <w:rsid w:val="00E30DBC"/>
    <w:rsid w:val="00E4597E"/>
    <w:rsid w:val="00F95138"/>
    <w:rsid w:val="00FB37A5"/>
    <w:rsid w:val="00FD787C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B80C5"/>
  <w15:chartTrackingRefBased/>
  <w15:docId w15:val="{55F97347-97AC-41FD-B14F-56120F86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8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F7824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DF7824"/>
  </w:style>
  <w:style w:type="paragraph" w:customStyle="1" w:styleId="xxmsolistparagraph">
    <w:name w:val="x_xmsolistparagraph"/>
    <w:basedOn w:val="Normal"/>
    <w:rsid w:val="00DF7824"/>
  </w:style>
  <w:style w:type="paragraph" w:styleId="BalloonText">
    <w:name w:val="Balloon Text"/>
    <w:basedOn w:val="Normal"/>
    <w:link w:val="BalloonTextChar"/>
    <w:uiPriority w:val="99"/>
    <w:semiHidden/>
    <w:unhideWhenUsed/>
    <w:rsid w:val="00630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30C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2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25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0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254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F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ncinnatichildrens.org/D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Reynaud, Mary</dc:creator>
  <cp:keywords/>
  <dc:description/>
  <cp:lastModifiedBy>Tincher, David (Chris)</cp:lastModifiedBy>
  <cp:revision>2</cp:revision>
  <cp:lastPrinted>2020-10-16T17:05:00Z</cp:lastPrinted>
  <dcterms:created xsi:type="dcterms:W3CDTF">2021-12-02T18:49:00Z</dcterms:created>
  <dcterms:modified xsi:type="dcterms:W3CDTF">2021-12-02T18:49:00Z</dcterms:modified>
</cp:coreProperties>
</file>