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E5" w:rsidRDefault="00607583">
      <w:r>
        <w:rPr>
          <w:noProof/>
        </w:rPr>
        <w:pict>
          <v:shapetype id="_x0000_t202" coordsize="21600,21600" o:spt="202" path="m,l,21600r21600,l21600,xe">
            <v:stroke joinstyle="miter"/>
            <v:path gradientshapeok="t" o:connecttype="rect"/>
          </v:shapetype>
          <v:shape id="_x0000_s1026" type="#_x0000_t202" style="position:absolute;margin-left:175.05pt;margin-top:.2pt;width:261pt;height:36pt;z-index:251657728">
            <v:textbox>
              <w:txbxContent>
                <w:p w:rsidR="00CC03E5" w:rsidRDefault="00CC03E5">
                  <w:pPr>
                    <w:pStyle w:val="Heading3"/>
                    <w:rPr>
                      <w:sz w:val="44"/>
                    </w:rPr>
                  </w:pPr>
                  <w:r>
                    <w:rPr>
                      <w:sz w:val="44"/>
                    </w:rPr>
                    <w:t>TECHNICAL BULLETIN</w:t>
                  </w:r>
                </w:p>
              </w:txbxContent>
            </v:textbox>
            <w10:anchorlock/>
          </v:shape>
        </w:pict>
      </w:r>
      <w:r w:rsidR="00965281">
        <w:rPr>
          <w:noProof/>
        </w:rPr>
        <w:drawing>
          <wp:inline distT="0" distB="0" distL="0" distR="0">
            <wp:extent cx="1476375" cy="428625"/>
            <wp:effectExtent l="19050" t="0" r="9525" b="0"/>
            <wp:docPr id="1" name="Picture 1" descr="elogo2.gif (2124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2.gif (2124 bytes)"/>
                    <pic:cNvPicPr>
                      <a:picLocks noChangeAspect="1" noChangeArrowheads="1"/>
                    </pic:cNvPicPr>
                  </pic:nvPicPr>
                  <pic:blipFill>
                    <a:blip r:embed="rId7" cstate="print"/>
                    <a:srcRect/>
                    <a:stretch>
                      <a:fillRect/>
                    </a:stretch>
                  </pic:blipFill>
                  <pic:spPr bwMode="auto">
                    <a:xfrm>
                      <a:off x="0" y="0"/>
                      <a:ext cx="1476375" cy="428625"/>
                    </a:xfrm>
                    <a:prstGeom prst="rect">
                      <a:avLst/>
                    </a:prstGeom>
                    <a:noFill/>
                    <a:ln w="9525">
                      <a:noFill/>
                      <a:miter lim="800000"/>
                      <a:headEnd/>
                      <a:tailEnd/>
                    </a:ln>
                  </pic:spPr>
                </pic:pic>
              </a:graphicData>
            </a:graphic>
          </wp:inline>
        </w:drawing>
      </w:r>
    </w:p>
    <w:p w:rsidR="00CC03E5" w:rsidRDefault="00CC03E5"/>
    <w:p w:rsidR="00CC03E5" w:rsidRDefault="00CC03E5" w:rsidP="00CC3BC9">
      <w:pPr>
        <w:pStyle w:val="Heading4"/>
        <w:rPr>
          <w:sz w:val="36"/>
        </w:rPr>
      </w:pPr>
      <w:r>
        <w:t>Laboratory Services</w:t>
      </w:r>
    </w:p>
    <w:p w:rsidR="00DA748A" w:rsidRDefault="00DA748A"/>
    <w:p w:rsidR="00DA748A" w:rsidRDefault="00DA748A" w:rsidP="00DA748A">
      <w:pPr>
        <w:jc w:val="center"/>
        <w:rPr>
          <w:sz w:val="28"/>
          <w:szCs w:val="28"/>
        </w:rPr>
      </w:pPr>
      <w:r>
        <w:rPr>
          <w:sz w:val="28"/>
          <w:szCs w:val="28"/>
        </w:rPr>
        <w:t>Blood Culture C</w:t>
      </w:r>
      <w:r w:rsidRPr="00DA748A">
        <w:rPr>
          <w:sz w:val="28"/>
          <w:szCs w:val="28"/>
        </w:rPr>
        <w:t>ollection</w:t>
      </w:r>
      <w:r w:rsidR="00B66682">
        <w:rPr>
          <w:sz w:val="28"/>
          <w:szCs w:val="28"/>
        </w:rPr>
        <w:t xml:space="preserve"> Guidelines </w:t>
      </w:r>
    </w:p>
    <w:p w:rsidR="00AE787F" w:rsidRDefault="00AE787F" w:rsidP="00DA748A">
      <w:pPr>
        <w:jc w:val="center"/>
        <w:rPr>
          <w:sz w:val="22"/>
          <w:szCs w:val="22"/>
        </w:rPr>
      </w:pPr>
      <w:r w:rsidRPr="00A4107E">
        <w:rPr>
          <w:sz w:val="22"/>
          <w:szCs w:val="22"/>
        </w:rPr>
        <w:t xml:space="preserve">For optimal recovery of </w:t>
      </w:r>
      <w:r w:rsidR="00484203" w:rsidRPr="00A4107E">
        <w:rPr>
          <w:sz w:val="22"/>
          <w:szCs w:val="22"/>
        </w:rPr>
        <w:t>micro</w:t>
      </w:r>
      <w:r w:rsidRPr="00A4107E">
        <w:rPr>
          <w:sz w:val="22"/>
          <w:szCs w:val="22"/>
        </w:rPr>
        <w:t>organisms from blood</w:t>
      </w:r>
    </w:p>
    <w:p w:rsidR="00A4107E" w:rsidRPr="00A4107E" w:rsidRDefault="00A4107E" w:rsidP="00DA748A">
      <w:pPr>
        <w:jc w:val="center"/>
        <w:rPr>
          <w:sz w:val="22"/>
          <w:szCs w:val="22"/>
        </w:rPr>
      </w:pPr>
    </w:p>
    <w:p w:rsidR="00DB1998" w:rsidRDefault="00DB1998" w:rsidP="00FC7410">
      <w:pPr>
        <w:pStyle w:val="ListParagraph"/>
        <w:numPr>
          <w:ilvl w:val="0"/>
          <w:numId w:val="5"/>
        </w:numPr>
      </w:pPr>
      <w:r w:rsidRPr="00A4107E">
        <w:t>In acute febrile illnesses such as meningitis and bacterial pneumonia, when empiric antibiotic therapy may be necessary, or in patients with infectious diseases who are to undergo emergency surgery, 2 separate samples should be drawn immediately in tandem, from opposite arms.</w:t>
      </w:r>
    </w:p>
    <w:p w:rsidR="00DB1998" w:rsidRDefault="00DB1998" w:rsidP="00FC7410">
      <w:pPr>
        <w:pStyle w:val="ListParagraph"/>
        <w:numPr>
          <w:ilvl w:val="0"/>
          <w:numId w:val="5"/>
        </w:numPr>
      </w:pPr>
      <w:r w:rsidRPr="00A4107E">
        <w:t>If the origin of fever is unknown, 2 blood cultures can initially be drawn with an interval of 45-60 minutes. The reason for the time interval is to determine if a continuous or intermittent bacteremia exists. Two more sets of blood cultures can then be drawn 24-48 hours later if necessary.</w:t>
      </w:r>
    </w:p>
    <w:p w:rsidR="00DB1998" w:rsidRDefault="00DB1998" w:rsidP="00FC7410">
      <w:pPr>
        <w:pStyle w:val="ListParagraph"/>
        <w:numPr>
          <w:ilvl w:val="0"/>
          <w:numId w:val="5"/>
        </w:numPr>
      </w:pPr>
      <w:r w:rsidRPr="00A4107E">
        <w:t xml:space="preserve">For patients with acute infective endocarditis, 3 blood cultures from 3 separate venipunctures should be drawn during the first 1-2 hours of evaluation, then therapy begun.  In cases of suspected </w:t>
      </w:r>
      <w:proofErr w:type="spellStart"/>
      <w:r w:rsidRPr="00A4107E">
        <w:t>subacute</w:t>
      </w:r>
      <w:proofErr w:type="spellEnd"/>
      <w:r w:rsidRPr="00A4107E">
        <w:t xml:space="preserve"> bacterial endocarditis, obtain 3 blood cultures on the first day, spacing the venipunctures at least 30 minutes apart.  If these are negative, obtain 2 more sets on subsequent days.</w:t>
      </w:r>
    </w:p>
    <w:p w:rsidR="00FC7410" w:rsidRDefault="00FC7410" w:rsidP="00FC7410">
      <w:pPr>
        <w:pStyle w:val="ListParagraph"/>
        <w:numPr>
          <w:ilvl w:val="0"/>
          <w:numId w:val="5"/>
        </w:numPr>
      </w:pPr>
      <w:r>
        <w:t xml:space="preserve">Use strict aseptic technique and standard precautions during venipuncture.  To minimize the risk of contamination, the venipuncture site </w:t>
      </w:r>
      <w:r w:rsidR="00C41337">
        <w:t xml:space="preserve">and rubber septum of blood culture bottles </w:t>
      </w:r>
      <w:r>
        <w:t>require disinfection.  Cleanse the venipuncture site first with 70% isopropyl alcohol, air dry, and then apply the main disinfectant.  Disinfection with tincture of iodine</w:t>
      </w:r>
      <w:r w:rsidR="00C41337">
        <w:t xml:space="preserve"> (or 10% </w:t>
      </w:r>
      <w:proofErr w:type="spellStart"/>
      <w:r w:rsidR="00C41337">
        <w:t>povidone</w:t>
      </w:r>
      <w:proofErr w:type="spellEnd"/>
      <w:r w:rsidR="00C41337">
        <w:t xml:space="preserve"> iodine)</w:t>
      </w:r>
      <w:r>
        <w:t xml:space="preserve"> requires 1 minute of air dry time once </w:t>
      </w:r>
      <w:r w:rsidR="00A4107E">
        <w:t xml:space="preserve">disinfection is </w:t>
      </w:r>
      <w:r>
        <w:t>c</w:t>
      </w:r>
      <w:r w:rsidR="00A4107E">
        <w:t>ompleted</w:t>
      </w:r>
      <w:r>
        <w:t>.  Do not palpate the vein after disinfection</w:t>
      </w:r>
      <w:r w:rsidR="00C41337">
        <w:t xml:space="preserve"> unless </w:t>
      </w:r>
      <w:r w:rsidR="00EB0CA5">
        <w:t xml:space="preserve">a </w:t>
      </w:r>
      <w:r w:rsidR="00C41337">
        <w:t>gloved finger is also d</w:t>
      </w:r>
      <w:r w:rsidR="00A4107E">
        <w:t>isinfected</w:t>
      </w:r>
      <w:r>
        <w:t xml:space="preserve">.  </w:t>
      </w:r>
      <w:r w:rsidR="00C41337">
        <w:t>D</w:t>
      </w:r>
      <w:r>
        <w:t>econtaminate the rubber septum on the blood culture bottle(s) with 70% isopropyl alcohol</w:t>
      </w:r>
      <w:r w:rsidR="00A4107E">
        <w:t>,</w:t>
      </w:r>
      <w:r>
        <w:t xml:space="preserve"> which </w:t>
      </w:r>
      <w:r w:rsidR="00A4107E">
        <w:t>can</w:t>
      </w:r>
      <w:r>
        <w:t xml:space="preserve"> be allowed to air dry while venipuncture</w:t>
      </w:r>
      <w:r w:rsidR="00A4107E">
        <w:t xml:space="preserve"> is performed</w:t>
      </w:r>
      <w:r>
        <w:t>.</w:t>
      </w:r>
    </w:p>
    <w:p w:rsidR="006723BE" w:rsidRPr="002406B8" w:rsidRDefault="006723BE" w:rsidP="006723BE">
      <w:pPr>
        <w:pStyle w:val="ListParagraph"/>
        <w:numPr>
          <w:ilvl w:val="0"/>
          <w:numId w:val="5"/>
        </w:numPr>
        <w:rPr>
          <w:b/>
        </w:rPr>
      </w:pPr>
      <w:r w:rsidRPr="002406B8">
        <w:rPr>
          <w:b/>
          <w:u w:val="single"/>
        </w:rPr>
        <w:t>Required Volume</w:t>
      </w:r>
      <w:r w:rsidRPr="002406B8">
        <w:rPr>
          <w:b/>
        </w:rPr>
        <w:t>:</w:t>
      </w:r>
      <w:r w:rsidR="00EB0CA5" w:rsidRPr="002406B8">
        <w:rPr>
          <w:b/>
        </w:rPr>
        <w:t xml:space="preserve">  The volume of blood is </w:t>
      </w:r>
      <w:r w:rsidR="00EB0CA5" w:rsidRPr="00DC41C9">
        <w:rPr>
          <w:b/>
          <w:u w:val="single"/>
        </w:rPr>
        <w:t>critical</w:t>
      </w:r>
      <w:r w:rsidR="00EB0CA5" w:rsidRPr="002406B8">
        <w:rPr>
          <w:b/>
        </w:rPr>
        <w:t xml:space="preserve"> because the concentration of organisms in the majority of </w:t>
      </w:r>
      <w:proofErr w:type="spellStart"/>
      <w:r w:rsidR="00EB0CA5" w:rsidRPr="002406B8">
        <w:rPr>
          <w:b/>
        </w:rPr>
        <w:t>bacteremias</w:t>
      </w:r>
      <w:proofErr w:type="spellEnd"/>
      <w:r w:rsidR="00EB0CA5" w:rsidRPr="002406B8">
        <w:rPr>
          <w:b/>
        </w:rPr>
        <w:t xml:space="preserve"> is low, especially if the patient is on antimicrobial therapy.</w:t>
      </w:r>
    </w:p>
    <w:p w:rsidR="00EB0CA5" w:rsidRPr="00DC41C9" w:rsidRDefault="009D6EB2" w:rsidP="006723BE">
      <w:pPr>
        <w:ind w:left="720"/>
      </w:pPr>
      <w:r w:rsidRPr="002406B8">
        <w:rPr>
          <w:b/>
        </w:rPr>
        <w:t xml:space="preserve">   </w:t>
      </w:r>
      <w:r w:rsidR="006723BE" w:rsidRPr="00DC41C9">
        <w:t xml:space="preserve">Adults:  16-20 </w:t>
      </w:r>
      <w:proofErr w:type="spellStart"/>
      <w:r w:rsidR="006723BE" w:rsidRPr="00DC41C9">
        <w:t>mls</w:t>
      </w:r>
      <w:proofErr w:type="spellEnd"/>
      <w:r w:rsidR="006723BE" w:rsidRPr="00DC41C9">
        <w:t xml:space="preserve"> of blood per venipuncture.  </w:t>
      </w:r>
      <w:r w:rsidR="00500CB3">
        <w:t>Do not routinely collect pediatric blood culture bottles on adults.</w:t>
      </w:r>
    </w:p>
    <w:p w:rsidR="00FC7410" w:rsidRDefault="009D6EB2" w:rsidP="006723BE">
      <w:pPr>
        <w:ind w:left="720"/>
      </w:pPr>
      <w:r>
        <w:t xml:space="preserve">   </w:t>
      </w:r>
      <w:r w:rsidR="00FC7410">
        <w:t>Neonates,</w:t>
      </w:r>
      <w:r w:rsidR="00FC7410" w:rsidRPr="006723BE">
        <w:t xml:space="preserve"> children: 1-3mls of blood per venipuncture</w:t>
      </w:r>
      <w:r w:rsidR="00FC7410">
        <w:t>.</w:t>
      </w:r>
    </w:p>
    <w:p w:rsidR="00CC3BC9" w:rsidRPr="006723BE" w:rsidRDefault="00FC7410" w:rsidP="006723BE">
      <w:pPr>
        <w:ind w:left="720"/>
      </w:pPr>
      <w:r>
        <w:t xml:space="preserve">          </w:t>
      </w:r>
      <w:r w:rsidR="009D6EB2">
        <w:t xml:space="preserve">  </w:t>
      </w:r>
      <w:r w:rsidR="00EB0CA5">
        <w:t>A</w:t>
      </w:r>
      <w:r w:rsidR="006723BE" w:rsidRPr="006723BE">
        <w:t>liquot as follows: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4"/>
        <w:gridCol w:w="2821"/>
        <w:gridCol w:w="2831"/>
      </w:tblGrid>
      <w:tr w:rsidR="006951E2" w:rsidRPr="006723BE" w:rsidTr="001575E8">
        <w:trPr>
          <w:jc w:val="center"/>
        </w:trPr>
        <w:tc>
          <w:tcPr>
            <w:tcW w:w="8496" w:type="dxa"/>
            <w:gridSpan w:val="3"/>
          </w:tcPr>
          <w:p w:rsidR="006951E2" w:rsidRDefault="006951E2" w:rsidP="00CD391C">
            <w:pPr>
              <w:jc w:val="center"/>
              <w:rPr>
                <w:b/>
              </w:rPr>
            </w:pPr>
            <w:r>
              <w:rPr>
                <w:b/>
              </w:rPr>
              <w:t>For Adult patients:</w:t>
            </w:r>
          </w:p>
        </w:tc>
      </w:tr>
      <w:tr w:rsidR="006723BE" w:rsidRPr="006723BE" w:rsidTr="00CC3BC9">
        <w:trPr>
          <w:jc w:val="center"/>
        </w:trPr>
        <w:tc>
          <w:tcPr>
            <w:tcW w:w="2844" w:type="dxa"/>
          </w:tcPr>
          <w:p w:rsidR="006723BE" w:rsidRPr="006723BE" w:rsidRDefault="006723BE" w:rsidP="00607583">
            <w:pPr>
              <w:jc w:val="center"/>
              <w:rPr>
                <w:b/>
              </w:rPr>
            </w:pPr>
            <w:r w:rsidRPr="006723BE">
              <w:rPr>
                <w:b/>
              </w:rPr>
              <w:t>Amount per Venipuncture</w:t>
            </w:r>
          </w:p>
        </w:tc>
        <w:tc>
          <w:tcPr>
            <w:tcW w:w="2821" w:type="dxa"/>
          </w:tcPr>
          <w:p w:rsidR="006723BE" w:rsidRPr="006723BE" w:rsidRDefault="006723BE" w:rsidP="00607583">
            <w:pPr>
              <w:jc w:val="center"/>
              <w:rPr>
                <w:b/>
              </w:rPr>
            </w:pPr>
            <w:r w:rsidRPr="006723BE">
              <w:rPr>
                <w:b/>
              </w:rPr>
              <w:t>Am</w:t>
            </w:r>
            <w:r w:rsidR="00607583">
              <w:rPr>
                <w:b/>
              </w:rPr>
              <w:t>o</w:t>
            </w:r>
            <w:r w:rsidRPr="006723BE">
              <w:rPr>
                <w:b/>
              </w:rPr>
              <w:t>unt in BACTEC</w:t>
            </w:r>
          </w:p>
          <w:p w:rsidR="00607583" w:rsidRPr="006723BE" w:rsidRDefault="00EB0CA5" w:rsidP="00607583">
            <w:pPr>
              <w:jc w:val="center"/>
              <w:rPr>
                <w:b/>
              </w:rPr>
            </w:pPr>
            <w:r>
              <w:rPr>
                <w:b/>
              </w:rPr>
              <w:t>A</w:t>
            </w:r>
            <w:r w:rsidR="008D006E">
              <w:rPr>
                <w:b/>
              </w:rPr>
              <w:t xml:space="preserve">erobic </w:t>
            </w:r>
            <w:r w:rsidR="006951E2">
              <w:rPr>
                <w:b/>
              </w:rPr>
              <w:t>Plus bottle</w:t>
            </w:r>
          </w:p>
        </w:tc>
        <w:tc>
          <w:tcPr>
            <w:tcW w:w="2831" w:type="dxa"/>
          </w:tcPr>
          <w:p w:rsidR="006723BE" w:rsidRPr="006723BE" w:rsidRDefault="006723BE" w:rsidP="00607583">
            <w:pPr>
              <w:jc w:val="center"/>
              <w:rPr>
                <w:b/>
              </w:rPr>
            </w:pPr>
            <w:bookmarkStart w:id="0" w:name="_GoBack"/>
            <w:bookmarkEnd w:id="0"/>
            <w:r w:rsidRPr="006723BE">
              <w:rPr>
                <w:b/>
              </w:rPr>
              <w:t>Amount in BACTEC</w:t>
            </w:r>
          </w:p>
          <w:p w:rsidR="006723BE" w:rsidRPr="006723BE" w:rsidRDefault="006723BE" w:rsidP="00607583">
            <w:pPr>
              <w:jc w:val="center"/>
              <w:rPr>
                <w:b/>
              </w:rPr>
            </w:pPr>
            <w:r w:rsidRPr="006723BE">
              <w:rPr>
                <w:b/>
              </w:rPr>
              <w:t xml:space="preserve">Lytic </w:t>
            </w:r>
            <w:r w:rsidR="008D006E">
              <w:rPr>
                <w:b/>
              </w:rPr>
              <w:t>(A</w:t>
            </w:r>
            <w:r w:rsidR="00EB0CA5" w:rsidRPr="006723BE">
              <w:rPr>
                <w:b/>
              </w:rPr>
              <w:t>naerobic)</w:t>
            </w:r>
            <w:r w:rsidR="00EB0CA5">
              <w:rPr>
                <w:b/>
              </w:rPr>
              <w:t xml:space="preserve"> bottle</w:t>
            </w:r>
          </w:p>
        </w:tc>
      </w:tr>
      <w:tr w:rsidR="006723BE" w:rsidRPr="006723BE" w:rsidTr="00CC3BC9">
        <w:trPr>
          <w:jc w:val="center"/>
        </w:trPr>
        <w:tc>
          <w:tcPr>
            <w:tcW w:w="2844" w:type="dxa"/>
          </w:tcPr>
          <w:p w:rsidR="006723BE" w:rsidRPr="006723BE" w:rsidRDefault="006723BE" w:rsidP="00CD391C">
            <w:pPr>
              <w:jc w:val="center"/>
            </w:pPr>
            <w:r w:rsidRPr="006723BE">
              <w:t xml:space="preserve">16 – 20 </w:t>
            </w:r>
            <w:proofErr w:type="spellStart"/>
            <w:r w:rsidRPr="006723BE">
              <w:t>mls</w:t>
            </w:r>
            <w:proofErr w:type="spellEnd"/>
          </w:p>
        </w:tc>
        <w:tc>
          <w:tcPr>
            <w:tcW w:w="5652" w:type="dxa"/>
            <w:gridSpan w:val="2"/>
          </w:tcPr>
          <w:p w:rsidR="006723BE" w:rsidRPr="006723BE" w:rsidRDefault="006723BE" w:rsidP="00DC41C9">
            <w:pPr>
              <w:jc w:val="center"/>
            </w:pPr>
            <w:r w:rsidRPr="006723BE">
              <w:t xml:space="preserve">Split equally between aerobic and lytic </w:t>
            </w:r>
            <w:r w:rsidR="00A4107E">
              <w:t>bottles</w:t>
            </w:r>
          </w:p>
        </w:tc>
      </w:tr>
      <w:tr w:rsidR="006723BE" w:rsidRPr="006723BE" w:rsidTr="00CC3BC9">
        <w:trPr>
          <w:jc w:val="center"/>
        </w:trPr>
        <w:tc>
          <w:tcPr>
            <w:tcW w:w="2844" w:type="dxa"/>
          </w:tcPr>
          <w:p w:rsidR="006723BE" w:rsidRPr="006723BE" w:rsidRDefault="006723BE" w:rsidP="00CD391C">
            <w:pPr>
              <w:jc w:val="center"/>
            </w:pPr>
            <w:r w:rsidRPr="006723BE">
              <w:t xml:space="preserve">13 – 16 </w:t>
            </w:r>
            <w:proofErr w:type="spellStart"/>
            <w:r w:rsidRPr="006723BE">
              <w:t>mls</w:t>
            </w:r>
            <w:proofErr w:type="spellEnd"/>
          </w:p>
        </w:tc>
        <w:tc>
          <w:tcPr>
            <w:tcW w:w="2821" w:type="dxa"/>
          </w:tcPr>
          <w:p w:rsidR="006723BE" w:rsidRPr="006723BE" w:rsidRDefault="006723BE" w:rsidP="00DC41C9">
            <w:pPr>
              <w:jc w:val="center"/>
            </w:pPr>
            <w:r w:rsidRPr="006723BE">
              <w:t xml:space="preserve">8 </w:t>
            </w:r>
            <w:proofErr w:type="spellStart"/>
            <w:r w:rsidRPr="006723BE">
              <w:t>mls</w:t>
            </w:r>
            <w:proofErr w:type="spellEnd"/>
          </w:p>
        </w:tc>
        <w:tc>
          <w:tcPr>
            <w:tcW w:w="2831" w:type="dxa"/>
          </w:tcPr>
          <w:p w:rsidR="006723BE" w:rsidRPr="006723BE" w:rsidRDefault="006723BE" w:rsidP="00DC41C9">
            <w:pPr>
              <w:jc w:val="center"/>
            </w:pPr>
            <w:r w:rsidRPr="006723BE">
              <w:t xml:space="preserve">5 – 8 </w:t>
            </w:r>
            <w:proofErr w:type="spellStart"/>
            <w:r w:rsidRPr="006723BE">
              <w:t>mls</w:t>
            </w:r>
            <w:proofErr w:type="spellEnd"/>
          </w:p>
        </w:tc>
      </w:tr>
      <w:tr w:rsidR="006723BE" w:rsidRPr="006723BE" w:rsidTr="00CC3BC9">
        <w:trPr>
          <w:jc w:val="center"/>
        </w:trPr>
        <w:tc>
          <w:tcPr>
            <w:tcW w:w="2844" w:type="dxa"/>
          </w:tcPr>
          <w:p w:rsidR="006723BE" w:rsidRPr="006723BE" w:rsidRDefault="006723BE" w:rsidP="00CD391C">
            <w:pPr>
              <w:jc w:val="center"/>
            </w:pPr>
            <w:r w:rsidRPr="006723BE">
              <w:t xml:space="preserve">10 – 12 </w:t>
            </w:r>
            <w:proofErr w:type="spellStart"/>
            <w:r w:rsidRPr="006723BE">
              <w:t>mls</w:t>
            </w:r>
            <w:proofErr w:type="spellEnd"/>
          </w:p>
        </w:tc>
        <w:tc>
          <w:tcPr>
            <w:tcW w:w="2821" w:type="dxa"/>
          </w:tcPr>
          <w:p w:rsidR="006723BE" w:rsidRPr="006723BE" w:rsidRDefault="006723BE" w:rsidP="00DC41C9">
            <w:pPr>
              <w:jc w:val="center"/>
            </w:pPr>
            <w:r w:rsidRPr="006723BE">
              <w:t xml:space="preserve">5 – 7 </w:t>
            </w:r>
            <w:proofErr w:type="spellStart"/>
            <w:r w:rsidRPr="006723BE">
              <w:t>mls</w:t>
            </w:r>
            <w:proofErr w:type="spellEnd"/>
          </w:p>
        </w:tc>
        <w:tc>
          <w:tcPr>
            <w:tcW w:w="2831" w:type="dxa"/>
          </w:tcPr>
          <w:p w:rsidR="006723BE" w:rsidRPr="006723BE" w:rsidRDefault="006723BE" w:rsidP="00DC41C9">
            <w:pPr>
              <w:jc w:val="center"/>
            </w:pPr>
            <w:r w:rsidRPr="006723BE">
              <w:t xml:space="preserve">5 </w:t>
            </w:r>
            <w:proofErr w:type="spellStart"/>
            <w:r w:rsidRPr="006723BE">
              <w:t>mls</w:t>
            </w:r>
            <w:proofErr w:type="spellEnd"/>
          </w:p>
        </w:tc>
      </w:tr>
      <w:tr w:rsidR="006723BE" w:rsidRPr="006723BE" w:rsidTr="00CC3BC9">
        <w:trPr>
          <w:jc w:val="center"/>
        </w:trPr>
        <w:tc>
          <w:tcPr>
            <w:tcW w:w="2844" w:type="dxa"/>
          </w:tcPr>
          <w:p w:rsidR="006723BE" w:rsidRPr="006723BE" w:rsidRDefault="006723BE" w:rsidP="00CD391C">
            <w:pPr>
              <w:jc w:val="center"/>
            </w:pPr>
            <w:r w:rsidRPr="006723BE">
              <w:t xml:space="preserve">5 – 9 </w:t>
            </w:r>
            <w:proofErr w:type="spellStart"/>
            <w:r w:rsidRPr="006723BE">
              <w:t>mls</w:t>
            </w:r>
            <w:proofErr w:type="spellEnd"/>
          </w:p>
        </w:tc>
        <w:tc>
          <w:tcPr>
            <w:tcW w:w="2821" w:type="dxa"/>
          </w:tcPr>
          <w:p w:rsidR="006723BE" w:rsidRPr="006723BE" w:rsidRDefault="006723BE" w:rsidP="00DC41C9">
            <w:pPr>
              <w:jc w:val="center"/>
            </w:pPr>
            <w:r w:rsidRPr="006723BE">
              <w:t>Entire blood amount</w:t>
            </w:r>
          </w:p>
        </w:tc>
        <w:tc>
          <w:tcPr>
            <w:tcW w:w="2831" w:type="dxa"/>
          </w:tcPr>
          <w:p w:rsidR="006723BE" w:rsidRPr="006723BE" w:rsidRDefault="006723BE" w:rsidP="00DC41C9">
            <w:pPr>
              <w:jc w:val="center"/>
            </w:pPr>
            <w:r w:rsidRPr="006723BE">
              <w:t>0</w:t>
            </w:r>
          </w:p>
        </w:tc>
      </w:tr>
      <w:tr w:rsidR="006951E2" w:rsidRPr="006723BE" w:rsidTr="00D62858">
        <w:trPr>
          <w:jc w:val="center"/>
        </w:trPr>
        <w:tc>
          <w:tcPr>
            <w:tcW w:w="8496" w:type="dxa"/>
            <w:gridSpan w:val="3"/>
          </w:tcPr>
          <w:p w:rsidR="006951E2" w:rsidRPr="006951E2" w:rsidRDefault="00607583" w:rsidP="006951E2">
            <w:pPr>
              <w:jc w:val="center"/>
              <w:rPr>
                <w:b/>
              </w:rPr>
            </w:pPr>
            <w:r>
              <w:rPr>
                <w:b/>
              </w:rPr>
              <w:t>For P</w:t>
            </w:r>
            <w:r w:rsidR="006951E2" w:rsidRPr="006951E2">
              <w:rPr>
                <w:b/>
              </w:rPr>
              <w:t>ediatric patients:</w:t>
            </w:r>
          </w:p>
        </w:tc>
      </w:tr>
      <w:tr w:rsidR="006951E2" w:rsidRPr="006723BE" w:rsidTr="00CC3BC9">
        <w:trPr>
          <w:jc w:val="center"/>
        </w:trPr>
        <w:tc>
          <w:tcPr>
            <w:tcW w:w="2844" w:type="dxa"/>
          </w:tcPr>
          <w:p w:rsidR="006951E2" w:rsidRPr="00300ACD" w:rsidRDefault="006951E2" w:rsidP="006951E2">
            <w:pPr>
              <w:jc w:val="center"/>
            </w:pPr>
            <w:r w:rsidRPr="00300ACD">
              <w:t xml:space="preserve">1-3 </w:t>
            </w:r>
            <w:proofErr w:type="spellStart"/>
            <w:r w:rsidRPr="00300ACD">
              <w:t>mls</w:t>
            </w:r>
            <w:proofErr w:type="spellEnd"/>
          </w:p>
        </w:tc>
        <w:tc>
          <w:tcPr>
            <w:tcW w:w="5652" w:type="dxa"/>
            <w:gridSpan w:val="2"/>
          </w:tcPr>
          <w:p w:rsidR="006951E2" w:rsidRDefault="006951E2" w:rsidP="00C41DD5">
            <w:r w:rsidRPr="00300ACD">
              <w:t xml:space="preserve">Entire amount </w:t>
            </w:r>
            <w:r w:rsidRPr="006951E2">
              <w:rPr>
                <w:b/>
              </w:rPr>
              <w:t>to BACTEC Pediatric Plus bottle</w:t>
            </w:r>
          </w:p>
        </w:tc>
      </w:tr>
    </w:tbl>
    <w:p w:rsidR="00965281" w:rsidRDefault="00965281" w:rsidP="00965281">
      <w:pPr>
        <w:numPr>
          <w:ilvl w:val="0"/>
          <w:numId w:val="5"/>
        </w:numPr>
      </w:pPr>
      <w:r>
        <w:t>Blood should be drawn into a sterile syringe and then transferred to the blood culture bottle(s).  Drawing blood directly into blood culture bottles is not recommended. Alternately, blood can be drawn first into collection tubes containing SPS but should never be drawn into tubes containing other anticoagulants.  Once blood is transferred to culture bottles, invert the bottles gently to prevent clotting.</w:t>
      </w:r>
    </w:p>
    <w:p w:rsidR="00442A70" w:rsidRDefault="00442A70" w:rsidP="00DA748A">
      <w:pPr>
        <w:numPr>
          <w:ilvl w:val="0"/>
          <w:numId w:val="5"/>
        </w:numPr>
      </w:pPr>
      <w:r>
        <w:t xml:space="preserve">Blood cultures obtained from indwelling intravascular access devices (IV </w:t>
      </w:r>
      <w:proofErr w:type="spellStart"/>
      <w:r>
        <w:t>caths</w:t>
      </w:r>
      <w:proofErr w:type="spellEnd"/>
      <w:r w:rsidR="00B70CE7">
        <w:t xml:space="preserve">, </w:t>
      </w:r>
      <w:r>
        <w:t xml:space="preserve">ports) are associated with greater contamination rates than are blood cultures obtained by venipuncture. </w:t>
      </w:r>
      <w:r w:rsidR="00FC7410">
        <w:t xml:space="preserve">It is best practice to </w:t>
      </w:r>
      <w:r>
        <w:t xml:space="preserve">draw </w:t>
      </w:r>
      <w:r w:rsidR="00965281">
        <w:t xml:space="preserve">indwelling </w:t>
      </w:r>
      <w:r>
        <w:t>cath</w:t>
      </w:r>
      <w:r w:rsidR="002A3823">
        <w:t>eter</w:t>
      </w:r>
      <w:r>
        <w:t xml:space="preserve"> site blood cultures in tandem</w:t>
      </w:r>
      <w:r w:rsidR="005F6756">
        <w:t xml:space="preserve"> with</w:t>
      </w:r>
      <w:r>
        <w:t xml:space="preserve"> peripheral venipuncture </w:t>
      </w:r>
      <w:r w:rsidR="005F6756">
        <w:t xml:space="preserve">blood </w:t>
      </w:r>
      <w:r>
        <w:t>culture</w:t>
      </w:r>
      <w:r w:rsidR="005F6756">
        <w:t>s</w:t>
      </w:r>
      <w:r w:rsidR="00965281">
        <w:t xml:space="preserve"> and label bottles with the </w:t>
      </w:r>
      <w:r w:rsidR="00C4553C">
        <w:t xml:space="preserve">specific </w:t>
      </w:r>
      <w:r w:rsidR="00965281">
        <w:t>draw site</w:t>
      </w:r>
      <w:r w:rsidR="00C4553C">
        <w:t xml:space="preserve"> indicated</w:t>
      </w:r>
      <w:r w:rsidR="00965281">
        <w:t>.</w:t>
      </w:r>
    </w:p>
    <w:p w:rsidR="00442A70" w:rsidRDefault="005F6756" w:rsidP="00442A70">
      <w:pPr>
        <w:numPr>
          <w:ilvl w:val="0"/>
          <w:numId w:val="5"/>
        </w:numPr>
      </w:pPr>
      <w:r w:rsidRPr="00DB1998">
        <w:rPr>
          <w:b/>
        </w:rPr>
        <w:t>Blood culture bottles should be held at room temperature and sent w</w:t>
      </w:r>
      <w:r w:rsidR="008D006E" w:rsidRPr="00DB1998">
        <w:rPr>
          <w:b/>
        </w:rPr>
        <w:t xml:space="preserve">ithout delay to the laboratory </w:t>
      </w:r>
      <w:r w:rsidRPr="00DB1998">
        <w:rPr>
          <w:b/>
          <w:u w:val="single"/>
        </w:rPr>
        <w:t>within 2 hours</w:t>
      </w:r>
      <w:r w:rsidRPr="00DB1998">
        <w:rPr>
          <w:b/>
        </w:rPr>
        <w:t>.</w:t>
      </w:r>
      <w:r>
        <w:t xml:space="preserve">  Holding bottles at room temperature is </w:t>
      </w:r>
      <w:r w:rsidRPr="00CC3BC9">
        <w:rPr>
          <w:i/>
        </w:rPr>
        <w:t xml:space="preserve">not </w:t>
      </w:r>
      <w:r>
        <w:t>recommended for any</w:t>
      </w:r>
      <w:r w:rsidR="00DC41C9">
        <w:t xml:space="preserve"> </w:t>
      </w:r>
      <w:r>
        <w:t xml:space="preserve">longer than 4 hours.  </w:t>
      </w:r>
      <w:r w:rsidR="002A3823">
        <w:t xml:space="preserve">To expedite </w:t>
      </w:r>
      <w:r w:rsidR="008D006E">
        <w:t xml:space="preserve">laboratory </w:t>
      </w:r>
      <w:r w:rsidR="002A3823">
        <w:t xml:space="preserve">receipt in a timely manner, health care </w:t>
      </w:r>
      <w:r w:rsidR="00516CCA">
        <w:t xml:space="preserve">providers are asked to direct patients to the Elliot Hospital campus or Elliot at River’s Edge </w:t>
      </w:r>
      <w:r w:rsidR="002A3823">
        <w:t xml:space="preserve">drawing stations </w:t>
      </w:r>
      <w:r w:rsidR="00516CCA">
        <w:t>for blood culture collection</w:t>
      </w:r>
      <w:r w:rsidR="002A3823">
        <w:t>.</w:t>
      </w:r>
    </w:p>
    <w:p w:rsidR="00CC3BC9" w:rsidRDefault="00CC3BC9" w:rsidP="00442A70">
      <w:pPr>
        <w:numPr>
          <w:ilvl w:val="0"/>
          <w:numId w:val="5"/>
        </w:numPr>
      </w:pPr>
      <w:r>
        <w:t>Test Codes:</w:t>
      </w:r>
    </w:p>
    <w:p w:rsidR="00CC3BC9" w:rsidRDefault="00CC3BC9" w:rsidP="00CC3BC9">
      <w:pPr>
        <w:ind w:left="720"/>
      </w:pPr>
      <w:r>
        <w:t xml:space="preserve">CBL: </w:t>
      </w:r>
      <w:r w:rsidR="00C4553C">
        <w:t xml:space="preserve">   </w:t>
      </w:r>
      <w:r>
        <w:t>Culture,</w:t>
      </w:r>
      <w:r w:rsidR="00C4553C">
        <w:t xml:space="preserve"> </w:t>
      </w:r>
      <w:r>
        <w:t>Blood</w:t>
      </w:r>
    </w:p>
    <w:p w:rsidR="00CC3BC9" w:rsidRPr="00DA748A" w:rsidRDefault="00CC3BC9" w:rsidP="00CC3BC9">
      <w:pPr>
        <w:ind w:left="720"/>
      </w:pPr>
      <w:r>
        <w:t>CBLA:  Culture, Blood (patient on antibiotics)</w:t>
      </w:r>
    </w:p>
    <w:p w:rsidR="0082329F" w:rsidRPr="0082329F" w:rsidRDefault="0082329F" w:rsidP="0082329F">
      <w:pPr>
        <w:pStyle w:val="BodyText"/>
        <w:pBdr>
          <w:bottom w:val="dotted" w:sz="24" w:space="1" w:color="auto"/>
        </w:pBdr>
      </w:pPr>
    </w:p>
    <w:p w:rsidR="00CC03E5" w:rsidRDefault="00CC03E5">
      <w:pPr>
        <w:pStyle w:val="BodyText"/>
      </w:pPr>
    </w:p>
    <w:p w:rsidR="002406B8" w:rsidRDefault="00CC03E5">
      <w:pPr>
        <w:pStyle w:val="BodyText"/>
        <w:rPr>
          <w:sz w:val="20"/>
        </w:rPr>
      </w:pPr>
      <w:r w:rsidRPr="00CC3BC9">
        <w:rPr>
          <w:sz w:val="20"/>
        </w:rPr>
        <w:t>If you have any questions regarding this</w:t>
      </w:r>
      <w:r w:rsidR="00FF14F2">
        <w:rPr>
          <w:sz w:val="20"/>
        </w:rPr>
        <w:t xml:space="preserve"> technical bulletin</w:t>
      </w:r>
      <w:r w:rsidRPr="00CC3BC9">
        <w:rPr>
          <w:sz w:val="20"/>
        </w:rPr>
        <w:t xml:space="preserve">, please contact </w:t>
      </w:r>
      <w:r w:rsidR="00DA748A" w:rsidRPr="00CC3BC9">
        <w:rPr>
          <w:sz w:val="20"/>
        </w:rPr>
        <w:t xml:space="preserve">Sharon </w:t>
      </w:r>
      <w:r w:rsidR="002406B8">
        <w:rPr>
          <w:sz w:val="20"/>
        </w:rPr>
        <w:t>Cairns</w:t>
      </w:r>
      <w:r w:rsidR="00E2613D" w:rsidRPr="00CC3BC9">
        <w:rPr>
          <w:sz w:val="20"/>
        </w:rPr>
        <w:t xml:space="preserve">, </w:t>
      </w:r>
      <w:r w:rsidR="00DA748A" w:rsidRPr="00CC3BC9">
        <w:rPr>
          <w:sz w:val="20"/>
        </w:rPr>
        <w:t>Microbiology Supervisor</w:t>
      </w:r>
    </w:p>
    <w:p w:rsidR="00CC03E5" w:rsidRPr="00CC3BC9" w:rsidRDefault="00DA748A">
      <w:pPr>
        <w:pStyle w:val="BodyText"/>
        <w:rPr>
          <w:sz w:val="20"/>
        </w:rPr>
      </w:pPr>
      <w:r w:rsidRPr="00CC3BC9">
        <w:rPr>
          <w:sz w:val="20"/>
        </w:rPr>
        <w:t xml:space="preserve"> 663-3451</w:t>
      </w:r>
      <w:r w:rsidR="00FF14F2">
        <w:rPr>
          <w:sz w:val="20"/>
        </w:rPr>
        <w:t xml:space="preserve"> </w:t>
      </w:r>
      <w:r w:rsidR="00E2613D" w:rsidRPr="00CC3BC9">
        <w:rPr>
          <w:sz w:val="20"/>
        </w:rPr>
        <w:t xml:space="preserve">or Dr. </w:t>
      </w:r>
      <w:r w:rsidR="006951E2">
        <w:rPr>
          <w:sz w:val="20"/>
        </w:rPr>
        <w:t>Bissonnette, Medical Director 663-2583</w:t>
      </w:r>
      <w:r w:rsidR="00CC03E5" w:rsidRPr="00CC3BC9">
        <w:rPr>
          <w:sz w:val="20"/>
        </w:rPr>
        <w:t xml:space="preserve">.  Thank you. </w:t>
      </w:r>
      <w:r w:rsidR="00BC3377">
        <w:rPr>
          <w:sz w:val="20"/>
        </w:rPr>
        <w:t xml:space="preserve">                                                             5/15                                         </w:t>
      </w:r>
    </w:p>
    <w:sectPr w:rsidR="00CC03E5" w:rsidRPr="00CC3BC9" w:rsidSect="00CC3BC9">
      <w:pgSz w:w="12240" w:h="15840" w:code="1"/>
      <w:pgMar w:top="720" w:right="720" w:bottom="720" w:left="720" w:header="720" w:footer="720" w:gutter="0"/>
      <w:paperSrc w:first="11" w:other="1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2E0A"/>
    <w:multiLevelType w:val="hybridMultilevel"/>
    <w:tmpl w:val="6C1A9F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E95A75"/>
    <w:multiLevelType w:val="hybridMultilevel"/>
    <w:tmpl w:val="157A49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D6C1874"/>
    <w:multiLevelType w:val="hybridMultilevel"/>
    <w:tmpl w:val="8308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A7ECD"/>
    <w:multiLevelType w:val="hybridMultilevel"/>
    <w:tmpl w:val="C75806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2A17ED"/>
    <w:multiLevelType w:val="singleLevel"/>
    <w:tmpl w:val="3D40236E"/>
    <w:lvl w:ilvl="0">
      <w:start w:val="1"/>
      <w:numFmt w:val="lowerLetter"/>
      <w:lvlText w:val="%1."/>
      <w:lvlJc w:val="left"/>
      <w:pPr>
        <w:tabs>
          <w:tab w:val="num" w:pos="720"/>
        </w:tabs>
        <w:ind w:left="720" w:hanging="360"/>
      </w:pPr>
      <w:rPr>
        <w:rFonts w:hint="default"/>
      </w:rPr>
    </w:lvl>
  </w:abstractNum>
  <w:abstractNum w:abstractNumId="5">
    <w:nsid w:val="23507D06"/>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5251363D"/>
    <w:multiLevelType w:val="hybridMultilevel"/>
    <w:tmpl w:val="E8B03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2"/>
  </w:compat>
  <w:rsids>
    <w:rsidRoot w:val="00294244"/>
    <w:rsid w:val="000E4CCC"/>
    <w:rsid w:val="000F276B"/>
    <w:rsid w:val="001213FF"/>
    <w:rsid w:val="00163A90"/>
    <w:rsid w:val="00163F02"/>
    <w:rsid w:val="002406B8"/>
    <w:rsid w:val="00294244"/>
    <w:rsid w:val="002A3823"/>
    <w:rsid w:val="003533BD"/>
    <w:rsid w:val="003B3C5F"/>
    <w:rsid w:val="003D6DBC"/>
    <w:rsid w:val="0042668D"/>
    <w:rsid w:val="00442A70"/>
    <w:rsid w:val="00484203"/>
    <w:rsid w:val="00500CB3"/>
    <w:rsid w:val="00516CCA"/>
    <w:rsid w:val="005F6756"/>
    <w:rsid w:val="00607583"/>
    <w:rsid w:val="006723BE"/>
    <w:rsid w:val="006951E2"/>
    <w:rsid w:val="006E3E6E"/>
    <w:rsid w:val="007E4487"/>
    <w:rsid w:val="0082329F"/>
    <w:rsid w:val="00893E51"/>
    <w:rsid w:val="008D006E"/>
    <w:rsid w:val="00912C18"/>
    <w:rsid w:val="00913735"/>
    <w:rsid w:val="00940387"/>
    <w:rsid w:val="00965281"/>
    <w:rsid w:val="009D6EB2"/>
    <w:rsid w:val="00A4107E"/>
    <w:rsid w:val="00A57BF1"/>
    <w:rsid w:val="00AE787F"/>
    <w:rsid w:val="00B06384"/>
    <w:rsid w:val="00B66682"/>
    <w:rsid w:val="00B70CE7"/>
    <w:rsid w:val="00BC3377"/>
    <w:rsid w:val="00BD6B55"/>
    <w:rsid w:val="00C41337"/>
    <w:rsid w:val="00C4553C"/>
    <w:rsid w:val="00CC03E5"/>
    <w:rsid w:val="00CC3BC9"/>
    <w:rsid w:val="00DA748A"/>
    <w:rsid w:val="00DB1998"/>
    <w:rsid w:val="00DB6EEA"/>
    <w:rsid w:val="00DC41C9"/>
    <w:rsid w:val="00E2613D"/>
    <w:rsid w:val="00EB0CA5"/>
    <w:rsid w:val="00F47A87"/>
    <w:rsid w:val="00F943A5"/>
    <w:rsid w:val="00FC7410"/>
    <w:rsid w:val="00FF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3A5"/>
    <w:rPr>
      <w:rFonts w:ascii="Arial" w:hAnsi="Arial"/>
    </w:rPr>
  </w:style>
  <w:style w:type="paragraph" w:styleId="Heading1">
    <w:name w:val="heading 1"/>
    <w:basedOn w:val="Normal"/>
    <w:next w:val="Normal"/>
    <w:qFormat/>
    <w:rsid w:val="00F943A5"/>
    <w:pPr>
      <w:keepNext/>
      <w:jc w:val="center"/>
      <w:outlineLvl w:val="0"/>
    </w:pPr>
    <w:rPr>
      <w:sz w:val="36"/>
    </w:rPr>
  </w:style>
  <w:style w:type="paragraph" w:styleId="Heading2">
    <w:name w:val="heading 2"/>
    <w:basedOn w:val="Normal"/>
    <w:next w:val="Normal"/>
    <w:qFormat/>
    <w:rsid w:val="00F943A5"/>
    <w:pPr>
      <w:keepNext/>
      <w:jc w:val="center"/>
      <w:outlineLvl w:val="1"/>
    </w:pPr>
    <w:rPr>
      <w:b/>
      <w:bCs/>
      <w:sz w:val="32"/>
    </w:rPr>
  </w:style>
  <w:style w:type="paragraph" w:styleId="Heading3">
    <w:name w:val="heading 3"/>
    <w:basedOn w:val="Normal"/>
    <w:next w:val="Normal"/>
    <w:qFormat/>
    <w:rsid w:val="00F943A5"/>
    <w:pPr>
      <w:keepNext/>
      <w:jc w:val="right"/>
      <w:outlineLvl w:val="2"/>
    </w:pPr>
    <w:rPr>
      <w:b/>
      <w:bCs/>
      <w:color w:val="000080"/>
      <w:sz w:val="36"/>
    </w:rPr>
  </w:style>
  <w:style w:type="paragraph" w:styleId="Heading4">
    <w:name w:val="heading 4"/>
    <w:basedOn w:val="Normal"/>
    <w:next w:val="Normal"/>
    <w:qFormat/>
    <w:rsid w:val="00F943A5"/>
    <w:pPr>
      <w:keepNext/>
      <w:outlineLvl w:val="3"/>
    </w:pPr>
    <w:rPr>
      <w:rFonts w:ascii="Times New Roman" w:hAnsi="Times New Roman"/>
      <w:color w:val="000080"/>
      <w:sz w:val="24"/>
    </w:rPr>
  </w:style>
  <w:style w:type="paragraph" w:styleId="Heading5">
    <w:name w:val="heading 5"/>
    <w:basedOn w:val="Normal"/>
    <w:next w:val="Normal"/>
    <w:qFormat/>
    <w:rsid w:val="00F943A5"/>
    <w:pPr>
      <w:keepNext/>
      <w:jc w:val="center"/>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F943A5"/>
    <w:pPr>
      <w:jc w:val="both"/>
    </w:pPr>
    <w:rPr>
      <w:sz w:val="24"/>
    </w:rPr>
  </w:style>
  <w:style w:type="paragraph" w:styleId="ListParagraph">
    <w:name w:val="List Paragraph"/>
    <w:basedOn w:val="Normal"/>
    <w:uiPriority w:val="34"/>
    <w:qFormat/>
    <w:rsid w:val="00B06384"/>
    <w:pPr>
      <w:ind w:left="720"/>
    </w:pPr>
  </w:style>
  <w:style w:type="paragraph" w:styleId="BalloonText">
    <w:name w:val="Balloon Text"/>
    <w:basedOn w:val="Normal"/>
    <w:link w:val="BalloonTextChar"/>
    <w:uiPriority w:val="99"/>
    <w:semiHidden/>
    <w:unhideWhenUsed/>
    <w:rsid w:val="001213FF"/>
    <w:rPr>
      <w:rFonts w:ascii="Tahoma" w:hAnsi="Tahoma" w:cs="Tahoma"/>
      <w:sz w:val="16"/>
      <w:szCs w:val="16"/>
    </w:rPr>
  </w:style>
  <w:style w:type="character" w:customStyle="1" w:styleId="BalloonTextChar">
    <w:name w:val="Balloon Text Char"/>
    <w:basedOn w:val="DefaultParagraphFont"/>
    <w:link w:val="BalloonText"/>
    <w:uiPriority w:val="99"/>
    <w:semiHidden/>
    <w:rsid w:val="001213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8D12F-1C47-489C-AEE7-A801179E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598</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TECHNICAL  BULLETIN</vt:lpstr>
    </vt:vector>
  </TitlesOfParts>
  <Company>Elliot Health System</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BULLETIN</dc:title>
  <dc:subject/>
  <dc:creator>cashin_a</dc:creator>
  <cp:keywords/>
  <dc:description/>
  <cp:lastModifiedBy>SCairns</cp:lastModifiedBy>
  <cp:revision>8</cp:revision>
  <cp:lastPrinted>2012-08-14T16:13:00Z</cp:lastPrinted>
  <dcterms:created xsi:type="dcterms:W3CDTF">2012-08-21T12:46:00Z</dcterms:created>
  <dcterms:modified xsi:type="dcterms:W3CDTF">2015-05-13T20:52:00Z</dcterms:modified>
</cp:coreProperties>
</file>