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left w:val="nil"/>
          <w:bottom w:val="nil"/>
          <w:right w:val="nil"/>
        </w:tblBorders>
        <w:tblLayout w:type="fixed"/>
        <w:tblLook w:val="0000"/>
      </w:tblPr>
      <w:tblGrid>
        <w:gridCol w:w="4972"/>
        <w:gridCol w:w="4972"/>
      </w:tblGrid>
      <w:tr w:rsidR="00EB7C79" w:rsidTr="00B73143">
        <w:tblPrEx>
          <w:tblCellMar>
            <w:top w:w="0" w:type="dxa"/>
            <w:bottom w:w="0" w:type="dxa"/>
          </w:tblCellMar>
        </w:tblPrEx>
        <w:trPr>
          <w:trHeight w:val="273"/>
        </w:trPr>
        <w:tc>
          <w:tcPr>
            <w:tcW w:w="4972" w:type="dxa"/>
          </w:tcPr>
          <w:p w:rsidR="00EB7C79" w:rsidRDefault="00EB7C79" w:rsidP="00B73143">
            <w:pPr>
              <w:pStyle w:val="Default"/>
              <w:rPr>
                <w:sz w:val="26"/>
                <w:szCs w:val="26"/>
              </w:rPr>
            </w:pPr>
            <w:r>
              <w:rPr>
                <w:sz w:val="32"/>
                <w:szCs w:val="32"/>
              </w:rPr>
              <w:t xml:space="preserve">Sputum for PCP: </w:t>
            </w:r>
            <w:r>
              <w:rPr>
                <w:b/>
                <w:bCs/>
                <w:sz w:val="26"/>
                <w:szCs w:val="26"/>
              </w:rPr>
              <w:t xml:space="preserve">Day(s) / Time(s) Performed: </w:t>
            </w:r>
          </w:p>
        </w:tc>
        <w:tc>
          <w:tcPr>
            <w:tcW w:w="4972" w:type="dxa"/>
          </w:tcPr>
          <w:p w:rsidR="00EB7C79" w:rsidRDefault="00EB7C79" w:rsidP="00B73143">
            <w:pPr>
              <w:pStyle w:val="Default"/>
              <w:rPr>
                <w:sz w:val="22"/>
                <w:szCs w:val="22"/>
              </w:rPr>
            </w:pPr>
            <w:r>
              <w:rPr>
                <w:rFonts w:ascii="Times New Roman" w:hAnsi="Times New Roman" w:cs="Times New Roman"/>
                <w:b/>
                <w:bCs/>
                <w:sz w:val="22"/>
                <w:szCs w:val="22"/>
              </w:rPr>
              <w:t xml:space="preserve">Monday - Friday </w:t>
            </w:r>
          </w:p>
          <w:p w:rsidR="00EB7C79" w:rsidRDefault="00EB7C79" w:rsidP="00B73143">
            <w:pPr>
              <w:pStyle w:val="Default"/>
              <w:rPr>
                <w:rFonts w:ascii="Times New Roman" w:hAnsi="Times New Roman" w:cs="Times New Roman"/>
                <w:sz w:val="22"/>
                <w:szCs w:val="22"/>
              </w:rPr>
            </w:pPr>
            <w:r>
              <w:rPr>
                <w:rFonts w:ascii="Times New Roman" w:hAnsi="Times New Roman" w:cs="Times New Roman"/>
                <w:b/>
                <w:bCs/>
                <w:sz w:val="22"/>
                <w:szCs w:val="22"/>
              </w:rPr>
              <w:t xml:space="preserve">8am-5pm </w:t>
            </w:r>
          </w:p>
        </w:tc>
      </w:tr>
      <w:tr w:rsidR="00EB7C79" w:rsidTr="00B73143">
        <w:tblPrEx>
          <w:tblCellMar>
            <w:top w:w="0" w:type="dxa"/>
            <w:bottom w:w="0" w:type="dxa"/>
          </w:tblCellMar>
        </w:tblPrEx>
        <w:trPr>
          <w:trHeight w:val="174"/>
        </w:trPr>
        <w:tc>
          <w:tcPr>
            <w:tcW w:w="4972" w:type="dxa"/>
          </w:tcPr>
          <w:p w:rsidR="00EB7C79" w:rsidRDefault="00EB7C79" w:rsidP="00B73143">
            <w:pPr>
              <w:pStyle w:val="Default"/>
              <w:rPr>
                <w:sz w:val="26"/>
                <w:szCs w:val="26"/>
              </w:rPr>
            </w:pPr>
            <w:r>
              <w:rPr>
                <w:sz w:val="26"/>
                <w:szCs w:val="26"/>
              </w:rPr>
              <w:t xml:space="preserve">Turn Around Time**: </w:t>
            </w:r>
          </w:p>
        </w:tc>
        <w:tc>
          <w:tcPr>
            <w:tcW w:w="4972" w:type="dxa"/>
          </w:tcPr>
          <w:p w:rsidR="00EB7C79" w:rsidRDefault="00EB7C79" w:rsidP="00B73143">
            <w:pPr>
              <w:pStyle w:val="Default"/>
              <w:rPr>
                <w:sz w:val="22"/>
                <w:szCs w:val="22"/>
              </w:rPr>
            </w:pPr>
            <w:r>
              <w:rPr>
                <w:rFonts w:ascii="Times New Roman" w:hAnsi="Times New Roman" w:cs="Times New Roman"/>
                <w:sz w:val="22"/>
                <w:szCs w:val="22"/>
              </w:rPr>
              <w:t xml:space="preserve">24 hours </w:t>
            </w:r>
          </w:p>
        </w:tc>
      </w:tr>
      <w:tr w:rsidR="00EB7C79" w:rsidTr="00B73143">
        <w:tblPrEx>
          <w:tblCellMar>
            <w:top w:w="0" w:type="dxa"/>
            <w:bottom w:w="0" w:type="dxa"/>
          </w:tblCellMar>
        </w:tblPrEx>
        <w:trPr>
          <w:trHeight w:val="180"/>
        </w:trPr>
        <w:tc>
          <w:tcPr>
            <w:tcW w:w="4972" w:type="dxa"/>
          </w:tcPr>
          <w:p w:rsidR="00EB7C79" w:rsidRDefault="00EB7C79" w:rsidP="00B73143">
            <w:pPr>
              <w:pStyle w:val="Default"/>
              <w:rPr>
                <w:sz w:val="26"/>
                <w:szCs w:val="26"/>
              </w:rPr>
            </w:pPr>
            <w:r>
              <w:rPr>
                <w:b/>
                <w:bCs/>
                <w:sz w:val="26"/>
                <w:szCs w:val="26"/>
              </w:rPr>
              <w:t xml:space="preserve">Specimen Collection Supplies: </w:t>
            </w:r>
          </w:p>
        </w:tc>
        <w:tc>
          <w:tcPr>
            <w:tcW w:w="4972" w:type="dxa"/>
          </w:tcPr>
          <w:p w:rsidR="00EB7C79" w:rsidRDefault="00EB7C79" w:rsidP="00B73143">
            <w:pPr>
              <w:pStyle w:val="Default"/>
              <w:rPr>
                <w:rFonts w:cs="Times New Roman"/>
                <w:color w:val="auto"/>
              </w:rPr>
            </w:pPr>
          </w:p>
          <w:p w:rsidR="00EB7C79" w:rsidRDefault="00EB7C79" w:rsidP="00B73143">
            <w:pPr>
              <w:pStyle w:val="Default"/>
              <w:rPr>
                <w:sz w:val="22"/>
                <w:szCs w:val="22"/>
              </w:rPr>
            </w:pPr>
            <w:r>
              <w:rPr>
                <w:sz w:val="22"/>
                <w:szCs w:val="22"/>
              </w:rPr>
              <w:t xml:space="preserve">• </w:t>
            </w:r>
            <w:r>
              <w:rPr>
                <w:rFonts w:ascii="Times New Roman" w:hAnsi="Times New Roman" w:cs="Times New Roman"/>
                <w:b/>
                <w:bCs/>
                <w:sz w:val="22"/>
                <w:szCs w:val="22"/>
              </w:rPr>
              <w:t xml:space="preserve">Specimen Collection Container </w:t>
            </w:r>
          </w:p>
          <w:p w:rsidR="00EB7C79" w:rsidRDefault="00EB7C79" w:rsidP="00B73143">
            <w:pPr>
              <w:pStyle w:val="Default"/>
              <w:rPr>
                <w:sz w:val="22"/>
                <w:szCs w:val="22"/>
              </w:rPr>
            </w:pPr>
          </w:p>
        </w:tc>
      </w:tr>
      <w:tr w:rsidR="00EB7C79" w:rsidTr="00B73143">
        <w:tblPrEx>
          <w:tblCellMar>
            <w:top w:w="0" w:type="dxa"/>
            <w:bottom w:w="0" w:type="dxa"/>
          </w:tblCellMar>
        </w:tblPrEx>
        <w:trPr>
          <w:trHeight w:val="174"/>
        </w:trPr>
        <w:tc>
          <w:tcPr>
            <w:tcW w:w="4972" w:type="dxa"/>
          </w:tcPr>
          <w:p w:rsidR="00EB7C79" w:rsidRDefault="00EB7C79" w:rsidP="00B73143">
            <w:pPr>
              <w:pStyle w:val="Default"/>
              <w:rPr>
                <w:sz w:val="26"/>
                <w:szCs w:val="26"/>
              </w:rPr>
            </w:pPr>
            <w:r>
              <w:rPr>
                <w:sz w:val="26"/>
                <w:szCs w:val="26"/>
              </w:rPr>
              <w:t xml:space="preserve">Specimen Collection: </w:t>
            </w:r>
          </w:p>
        </w:tc>
        <w:tc>
          <w:tcPr>
            <w:tcW w:w="4972" w:type="dxa"/>
          </w:tcPr>
          <w:p w:rsidR="00EB7C79" w:rsidRDefault="00EB7C79" w:rsidP="00B73143">
            <w:pPr>
              <w:pStyle w:val="Default"/>
              <w:rPr>
                <w:sz w:val="22"/>
                <w:szCs w:val="22"/>
              </w:rPr>
            </w:pPr>
            <w:r>
              <w:rPr>
                <w:rFonts w:ascii="Times New Roman" w:hAnsi="Times New Roman" w:cs="Times New Roman"/>
                <w:sz w:val="22"/>
                <w:szCs w:val="22"/>
              </w:rPr>
              <w:t xml:space="preserve">Collect fresh unfixed induced specimen. </w:t>
            </w:r>
          </w:p>
        </w:tc>
      </w:tr>
      <w:tr w:rsidR="00EB7C79" w:rsidTr="00B73143">
        <w:tblPrEx>
          <w:tblCellMar>
            <w:top w:w="0" w:type="dxa"/>
            <w:bottom w:w="0" w:type="dxa"/>
          </w:tblCellMar>
        </w:tblPrEx>
        <w:trPr>
          <w:trHeight w:val="180"/>
        </w:trPr>
        <w:tc>
          <w:tcPr>
            <w:tcW w:w="4972" w:type="dxa"/>
          </w:tcPr>
          <w:p w:rsidR="00EB7C79" w:rsidRDefault="00EB7C79" w:rsidP="00B73143">
            <w:pPr>
              <w:pStyle w:val="Default"/>
              <w:rPr>
                <w:sz w:val="26"/>
                <w:szCs w:val="26"/>
              </w:rPr>
            </w:pPr>
            <w:r>
              <w:rPr>
                <w:b/>
                <w:bCs/>
                <w:sz w:val="26"/>
                <w:szCs w:val="26"/>
              </w:rPr>
              <w:t xml:space="preserve">Specimen Handling: </w:t>
            </w:r>
          </w:p>
        </w:tc>
        <w:tc>
          <w:tcPr>
            <w:tcW w:w="4972" w:type="dxa"/>
          </w:tcPr>
          <w:p w:rsidR="00EB7C79" w:rsidRDefault="00EB7C79" w:rsidP="00B73143">
            <w:pPr>
              <w:pStyle w:val="Default"/>
              <w:rPr>
                <w:sz w:val="22"/>
                <w:szCs w:val="22"/>
              </w:rPr>
            </w:pPr>
            <w:r>
              <w:rPr>
                <w:rFonts w:ascii="Times New Roman" w:hAnsi="Times New Roman" w:cs="Times New Roman"/>
                <w:b/>
                <w:bCs/>
                <w:sz w:val="22"/>
                <w:szCs w:val="22"/>
              </w:rPr>
              <w:t xml:space="preserve">Refrigerated </w:t>
            </w:r>
          </w:p>
        </w:tc>
      </w:tr>
      <w:tr w:rsidR="00EB7C79" w:rsidTr="00B73143">
        <w:tblPrEx>
          <w:tblCellMar>
            <w:top w:w="0" w:type="dxa"/>
            <w:bottom w:w="0" w:type="dxa"/>
          </w:tblCellMar>
        </w:tblPrEx>
        <w:trPr>
          <w:trHeight w:val="671"/>
        </w:trPr>
        <w:tc>
          <w:tcPr>
            <w:tcW w:w="4972" w:type="dxa"/>
          </w:tcPr>
          <w:p w:rsidR="00EB7C79" w:rsidRDefault="00EB7C79" w:rsidP="00B73143">
            <w:pPr>
              <w:pStyle w:val="Default"/>
              <w:rPr>
                <w:sz w:val="26"/>
                <w:szCs w:val="26"/>
              </w:rPr>
            </w:pPr>
            <w:r>
              <w:rPr>
                <w:sz w:val="26"/>
                <w:szCs w:val="26"/>
              </w:rPr>
              <w:t xml:space="preserve">Specimen Requirements: </w:t>
            </w:r>
          </w:p>
        </w:tc>
        <w:tc>
          <w:tcPr>
            <w:tcW w:w="4972" w:type="dxa"/>
          </w:tcPr>
          <w:p w:rsidR="00EB7C79" w:rsidRDefault="00EB7C79" w:rsidP="00B73143">
            <w:pPr>
              <w:pStyle w:val="Default"/>
              <w:rPr>
                <w:rFonts w:cs="Times New Roman"/>
                <w:color w:val="auto"/>
              </w:rPr>
            </w:pPr>
          </w:p>
          <w:p w:rsidR="00EB7C79" w:rsidRDefault="00EB7C79" w:rsidP="00B73143">
            <w:pPr>
              <w:pStyle w:val="Default"/>
              <w:rPr>
                <w:sz w:val="22"/>
                <w:szCs w:val="22"/>
              </w:rPr>
            </w:pPr>
            <w:r>
              <w:rPr>
                <w:sz w:val="22"/>
                <w:szCs w:val="22"/>
              </w:rPr>
              <w:t xml:space="preserve">• </w:t>
            </w:r>
            <w:r>
              <w:rPr>
                <w:rFonts w:ascii="Times New Roman" w:hAnsi="Times New Roman" w:cs="Times New Roman"/>
                <w:sz w:val="22"/>
                <w:szCs w:val="22"/>
              </w:rPr>
              <w:t xml:space="preserve">Labeled with two (2) patient identifiers </w:t>
            </w:r>
          </w:p>
          <w:p w:rsidR="00EB7C79" w:rsidRDefault="00EB7C79"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sz w:val="22"/>
                <w:szCs w:val="22"/>
              </w:rPr>
              <w:t xml:space="preserve">Completed cytology specimen requisition, include r/o PCP request </w:t>
            </w:r>
          </w:p>
          <w:p w:rsidR="00EB7C79" w:rsidRDefault="00EB7C79"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sz w:val="22"/>
                <w:szCs w:val="22"/>
              </w:rPr>
              <w:t xml:space="preserve">All specimens should be placed in a secondary “Biohazard Safety Bag”. </w:t>
            </w:r>
          </w:p>
          <w:p w:rsidR="00EB7C79" w:rsidRDefault="00EB7C79" w:rsidP="00B73143">
            <w:pPr>
              <w:pStyle w:val="Default"/>
              <w:rPr>
                <w:rFonts w:ascii="Times New Roman" w:hAnsi="Times New Roman" w:cs="Times New Roman"/>
                <w:sz w:val="22"/>
                <w:szCs w:val="22"/>
              </w:rPr>
            </w:pPr>
          </w:p>
        </w:tc>
      </w:tr>
      <w:tr w:rsidR="00EB7C79" w:rsidTr="00B73143">
        <w:tblPrEx>
          <w:tblCellMar>
            <w:top w:w="0" w:type="dxa"/>
            <w:bottom w:w="0" w:type="dxa"/>
          </w:tblCellMar>
        </w:tblPrEx>
        <w:trPr>
          <w:trHeight w:val="180"/>
        </w:trPr>
        <w:tc>
          <w:tcPr>
            <w:tcW w:w="4972" w:type="dxa"/>
          </w:tcPr>
          <w:p w:rsidR="00EB7C79" w:rsidRDefault="00EB7C79" w:rsidP="00B73143">
            <w:pPr>
              <w:pStyle w:val="Default"/>
              <w:rPr>
                <w:sz w:val="26"/>
                <w:szCs w:val="26"/>
              </w:rPr>
            </w:pPr>
            <w:r>
              <w:rPr>
                <w:b/>
                <w:bCs/>
                <w:sz w:val="26"/>
                <w:szCs w:val="26"/>
              </w:rPr>
              <w:t xml:space="preserve">Transportation: </w:t>
            </w:r>
          </w:p>
        </w:tc>
        <w:tc>
          <w:tcPr>
            <w:tcW w:w="4972" w:type="dxa"/>
          </w:tcPr>
          <w:p w:rsidR="00EB7C79" w:rsidRDefault="00EB7C79" w:rsidP="00B73143">
            <w:pPr>
              <w:pStyle w:val="Default"/>
              <w:rPr>
                <w:sz w:val="22"/>
                <w:szCs w:val="22"/>
              </w:rPr>
            </w:pPr>
            <w:r>
              <w:rPr>
                <w:rFonts w:ascii="Times New Roman" w:hAnsi="Times New Roman" w:cs="Times New Roman"/>
                <w:b/>
                <w:bCs/>
                <w:sz w:val="22"/>
                <w:szCs w:val="22"/>
              </w:rPr>
              <w:t xml:space="preserve">As Soon As Possible Deliver / Send to Laboratory or Teton Pathology </w:t>
            </w:r>
          </w:p>
        </w:tc>
      </w:tr>
      <w:tr w:rsidR="00EB7C79" w:rsidTr="00B73143">
        <w:tblPrEx>
          <w:tblCellMar>
            <w:top w:w="0" w:type="dxa"/>
            <w:bottom w:w="0" w:type="dxa"/>
          </w:tblCellMar>
        </w:tblPrEx>
        <w:trPr>
          <w:trHeight w:val="1030"/>
        </w:trPr>
        <w:tc>
          <w:tcPr>
            <w:tcW w:w="4972" w:type="dxa"/>
          </w:tcPr>
          <w:p w:rsidR="00EB7C79" w:rsidRDefault="00EB7C79" w:rsidP="00B73143">
            <w:pPr>
              <w:pStyle w:val="Default"/>
              <w:rPr>
                <w:sz w:val="26"/>
                <w:szCs w:val="26"/>
              </w:rPr>
            </w:pPr>
            <w:r>
              <w:rPr>
                <w:sz w:val="26"/>
                <w:szCs w:val="26"/>
              </w:rPr>
              <w:t xml:space="preserve">Comment / Special Instruction: </w:t>
            </w:r>
          </w:p>
        </w:tc>
        <w:tc>
          <w:tcPr>
            <w:tcW w:w="4972" w:type="dxa"/>
          </w:tcPr>
          <w:p w:rsidR="00EB7C79" w:rsidRDefault="00EB7C79" w:rsidP="00B73143">
            <w:pPr>
              <w:pStyle w:val="Default"/>
              <w:rPr>
                <w:rFonts w:ascii="Times New Roman" w:hAnsi="Times New Roman" w:cs="Times New Roman"/>
                <w:sz w:val="22"/>
                <w:szCs w:val="22"/>
              </w:rPr>
            </w:pPr>
            <w:r>
              <w:rPr>
                <w:rFonts w:ascii="Times New Roman" w:hAnsi="Times New Roman" w:cs="Times New Roman"/>
                <w:sz w:val="22"/>
                <w:szCs w:val="22"/>
              </w:rPr>
              <w:t xml:space="preserve">Sputum induction is intended primarily for the detection of early lung carcinoma in asymptomatic persons who have too little sputum to be raised naturally. It is also used for the detection of PCP. </w:t>
            </w:r>
          </w:p>
          <w:p w:rsidR="00EB7C79" w:rsidRDefault="00EB7C79" w:rsidP="00B73143">
            <w:pPr>
              <w:pStyle w:val="Default"/>
              <w:rPr>
                <w:rFonts w:ascii="Times New Roman" w:hAnsi="Times New Roman" w:cs="Times New Roman"/>
                <w:sz w:val="22"/>
                <w:szCs w:val="22"/>
              </w:rPr>
            </w:pPr>
            <w:r>
              <w:rPr>
                <w:rFonts w:ascii="Times New Roman" w:hAnsi="Times New Roman" w:cs="Times New Roman"/>
                <w:sz w:val="22"/>
                <w:szCs w:val="22"/>
              </w:rPr>
              <w:t xml:space="preserve">Non-induced specimen will not be processed for PCP. </w:t>
            </w:r>
          </w:p>
          <w:p w:rsidR="00EB7C79" w:rsidRDefault="00EB7C79" w:rsidP="00B73143">
            <w:pPr>
              <w:pStyle w:val="Default"/>
              <w:rPr>
                <w:rFonts w:ascii="Times New Roman" w:hAnsi="Times New Roman" w:cs="Times New Roman"/>
                <w:sz w:val="22"/>
                <w:szCs w:val="22"/>
              </w:rPr>
            </w:pPr>
            <w:r>
              <w:rPr>
                <w:rFonts w:ascii="Times New Roman" w:hAnsi="Times New Roman" w:cs="Times New Roman"/>
                <w:sz w:val="22"/>
                <w:szCs w:val="22"/>
              </w:rPr>
              <w:t xml:space="preserve">Do not use formalin as a fixative </w:t>
            </w:r>
          </w:p>
        </w:tc>
      </w:tr>
      <w:tr w:rsidR="00EB7C79" w:rsidTr="00B73143">
        <w:tblPrEx>
          <w:tblCellMar>
            <w:top w:w="0" w:type="dxa"/>
            <w:bottom w:w="0" w:type="dxa"/>
          </w:tblCellMar>
        </w:tblPrEx>
        <w:trPr>
          <w:trHeight w:val="558"/>
        </w:trPr>
        <w:tc>
          <w:tcPr>
            <w:tcW w:w="4972" w:type="dxa"/>
          </w:tcPr>
          <w:p w:rsidR="00EB7C79" w:rsidRDefault="00EB7C79" w:rsidP="00B73143">
            <w:pPr>
              <w:pStyle w:val="Default"/>
              <w:rPr>
                <w:sz w:val="26"/>
                <w:szCs w:val="26"/>
              </w:rPr>
            </w:pPr>
            <w:r>
              <w:rPr>
                <w:b/>
                <w:bCs/>
                <w:sz w:val="26"/>
                <w:szCs w:val="26"/>
              </w:rPr>
              <w:t xml:space="preserve">Rejection Criteria: </w:t>
            </w:r>
          </w:p>
        </w:tc>
        <w:tc>
          <w:tcPr>
            <w:tcW w:w="4972" w:type="dxa"/>
          </w:tcPr>
          <w:p w:rsidR="00EB7C79" w:rsidRDefault="00EB7C79" w:rsidP="00B73143">
            <w:pPr>
              <w:pStyle w:val="Default"/>
              <w:rPr>
                <w:rFonts w:cs="Times New Roman"/>
                <w:color w:val="auto"/>
              </w:rPr>
            </w:pPr>
          </w:p>
          <w:p w:rsidR="00EB7C79" w:rsidRDefault="00EB7C79" w:rsidP="00B73143">
            <w:pPr>
              <w:pStyle w:val="Default"/>
              <w:rPr>
                <w:sz w:val="22"/>
                <w:szCs w:val="22"/>
              </w:rPr>
            </w:pPr>
            <w:r>
              <w:rPr>
                <w:sz w:val="22"/>
                <w:szCs w:val="22"/>
              </w:rPr>
              <w:t xml:space="preserve">• </w:t>
            </w:r>
            <w:r>
              <w:rPr>
                <w:rFonts w:ascii="Times New Roman" w:hAnsi="Times New Roman" w:cs="Times New Roman"/>
                <w:b/>
                <w:bCs/>
                <w:sz w:val="22"/>
                <w:szCs w:val="22"/>
              </w:rPr>
              <w:t xml:space="preserve">Inadequate Information / Missing Requisition </w:t>
            </w:r>
          </w:p>
          <w:p w:rsidR="00EB7C79" w:rsidRDefault="00EB7C79"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b/>
                <w:bCs/>
                <w:sz w:val="22"/>
                <w:szCs w:val="22"/>
              </w:rPr>
              <w:t xml:space="preserve">Unlabeled / Mislabeled Specimen </w:t>
            </w:r>
          </w:p>
          <w:p w:rsidR="00EB7C79" w:rsidRDefault="00EB7C79"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b/>
                <w:bCs/>
                <w:sz w:val="22"/>
                <w:szCs w:val="22"/>
              </w:rPr>
              <w:t xml:space="preserve">Specimen received in inappropriate fixative </w:t>
            </w:r>
          </w:p>
          <w:p w:rsidR="00EB7C79" w:rsidRDefault="00EB7C79" w:rsidP="00B73143">
            <w:pPr>
              <w:pStyle w:val="Default"/>
              <w:rPr>
                <w:sz w:val="22"/>
                <w:szCs w:val="22"/>
              </w:rPr>
            </w:pPr>
            <w:r>
              <w:rPr>
                <w:sz w:val="22"/>
                <w:szCs w:val="22"/>
              </w:rPr>
              <w:t xml:space="preserve">• </w:t>
            </w:r>
            <w:r>
              <w:rPr>
                <w:rFonts w:ascii="Times New Roman" w:hAnsi="Times New Roman" w:cs="Times New Roman"/>
                <w:b/>
                <w:bCs/>
                <w:sz w:val="22"/>
                <w:szCs w:val="22"/>
              </w:rPr>
              <w:t xml:space="preserve">Non-induced specimen </w:t>
            </w:r>
          </w:p>
          <w:p w:rsidR="00EB7C79" w:rsidRDefault="00EB7C79" w:rsidP="00B73143">
            <w:pPr>
              <w:pStyle w:val="Default"/>
              <w:rPr>
                <w:sz w:val="22"/>
                <w:szCs w:val="22"/>
              </w:rPr>
            </w:pPr>
          </w:p>
        </w:tc>
      </w:tr>
      <w:tr w:rsidR="00EB7C79" w:rsidTr="00B73143">
        <w:tblPrEx>
          <w:tblCellMar>
            <w:top w:w="0" w:type="dxa"/>
            <w:bottom w:w="0" w:type="dxa"/>
          </w:tblCellMar>
        </w:tblPrEx>
        <w:trPr>
          <w:trHeight w:val="174"/>
        </w:trPr>
        <w:tc>
          <w:tcPr>
            <w:tcW w:w="4972" w:type="dxa"/>
          </w:tcPr>
          <w:p w:rsidR="00EB7C79" w:rsidRDefault="00EB7C79" w:rsidP="00B73143">
            <w:pPr>
              <w:pStyle w:val="Default"/>
              <w:rPr>
                <w:sz w:val="26"/>
                <w:szCs w:val="26"/>
              </w:rPr>
            </w:pPr>
            <w:r>
              <w:rPr>
                <w:sz w:val="26"/>
                <w:szCs w:val="26"/>
              </w:rPr>
              <w:t xml:space="preserve">Retention Time of Specimen: </w:t>
            </w:r>
          </w:p>
        </w:tc>
        <w:tc>
          <w:tcPr>
            <w:tcW w:w="4972" w:type="dxa"/>
          </w:tcPr>
          <w:p w:rsidR="00EB7C79" w:rsidRDefault="00EB7C79" w:rsidP="00B73143">
            <w:pPr>
              <w:pStyle w:val="Default"/>
              <w:rPr>
                <w:sz w:val="22"/>
                <w:szCs w:val="22"/>
              </w:rPr>
            </w:pPr>
            <w:r>
              <w:rPr>
                <w:rFonts w:ascii="Times New Roman" w:hAnsi="Times New Roman" w:cs="Times New Roman"/>
                <w:sz w:val="22"/>
                <w:szCs w:val="22"/>
              </w:rPr>
              <w:t xml:space="preserve">One (1) Week After Final Report is Issued </w:t>
            </w:r>
          </w:p>
        </w:tc>
      </w:tr>
      <w:tr w:rsidR="00EB7C79" w:rsidTr="00B73143">
        <w:tblPrEx>
          <w:tblCellMar>
            <w:top w:w="0" w:type="dxa"/>
            <w:bottom w:w="0" w:type="dxa"/>
          </w:tblCellMar>
        </w:tblPrEx>
        <w:trPr>
          <w:trHeight w:val="180"/>
        </w:trPr>
        <w:tc>
          <w:tcPr>
            <w:tcW w:w="4972" w:type="dxa"/>
          </w:tcPr>
          <w:p w:rsidR="00EB7C79" w:rsidRDefault="00EB7C79" w:rsidP="00B73143">
            <w:pPr>
              <w:pStyle w:val="Default"/>
              <w:rPr>
                <w:sz w:val="26"/>
                <w:szCs w:val="26"/>
              </w:rPr>
            </w:pPr>
            <w:r>
              <w:rPr>
                <w:b/>
                <w:bCs/>
                <w:sz w:val="26"/>
                <w:szCs w:val="26"/>
              </w:rPr>
              <w:t xml:space="preserve">Laboratory Testing Performed: </w:t>
            </w:r>
          </w:p>
        </w:tc>
        <w:tc>
          <w:tcPr>
            <w:tcW w:w="4972" w:type="dxa"/>
          </w:tcPr>
          <w:p w:rsidR="00EB7C79" w:rsidRDefault="00EB7C79" w:rsidP="00B73143">
            <w:pPr>
              <w:pStyle w:val="Default"/>
              <w:rPr>
                <w:sz w:val="22"/>
                <w:szCs w:val="22"/>
              </w:rPr>
            </w:pPr>
            <w:proofErr w:type="spellStart"/>
            <w:r>
              <w:rPr>
                <w:rFonts w:ascii="Times New Roman" w:hAnsi="Times New Roman" w:cs="Times New Roman"/>
                <w:b/>
                <w:bCs/>
                <w:sz w:val="22"/>
                <w:szCs w:val="22"/>
              </w:rPr>
              <w:t>Cytopathology</w:t>
            </w:r>
            <w:proofErr w:type="spellEnd"/>
            <w:r>
              <w:rPr>
                <w:rFonts w:ascii="Times New Roman" w:hAnsi="Times New Roman" w:cs="Times New Roman"/>
                <w:b/>
                <w:bCs/>
                <w:sz w:val="22"/>
                <w:szCs w:val="22"/>
              </w:rPr>
              <w:t xml:space="preserve"> – Teton Pathology</w:t>
            </w:r>
          </w:p>
        </w:tc>
      </w:tr>
    </w:tbl>
    <w:p w:rsidR="007B3E0C" w:rsidRDefault="007B3E0C"/>
    <w:sectPr w:rsidR="007B3E0C" w:rsidSect="007B3E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defaultTabStop w:val="720"/>
  <w:characterSpacingControl w:val="doNotCompress"/>
  <w:compat/>
  <w:rsids>
    <w:rsidRoot w:val="00EB7C79"/>
    <w:rsid w:val="007B3E0C"/>
    <w:rsid w:val="00EB7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C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7C79"/>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Company>Hewlett-Packard Company</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tward</dc:creator>
  <cp:lastModifiedBy>tward</cp:lastModifiedBy>
  <cp:revision>1</cp:revision>
  <dcterms:created xsi:type="dcterms:W3CDTF">2015-09-30T16:22:00Z</dcterms:created>
  <dcterms:modified xsi:type="dcterms:W3CDTF">2015-09-30T16:22:00Z</dcterms:modified>
</cp:coreProperties>
</file>