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75273C49" w:rsidR="00DA0755" w:rsidRPr="00C85F37" w:rsidRDefault="0009604B" w:rsidP="002C267A">
                  <w:pPr>
                    <w:pStyle w:val="Subject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Non-Gynecologic Cytology Specimen</w:t>
                  </w:r>
                  <w:r w:rsidR="00DF7872">
                    <w:rPr>
                      <w:i/>
                      <w:iCs/>
                      <w:sz w:val="28"/>
                    </w:rPr>
                    <w:t xml:space="preserve"> Collection</w:t>
                  </w:r>
                </w:p>
                <w:p w14:paraId="281016D6" w14:textId="2BAC4999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09604B">
                    <w:rPr>
                      <w:sz w:val="28"/>
                    </w:rPr>
                    <w:t>1/21/26</w:t>
                  </w:r>
                </w:p>
                <w:p w14:paraId="0C48C552" w14:textId="7AA69092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09604B">
                    <w:rPr>
                      <w:sz w:val="28"/>
                    </w:rPr>
                    <w:t>2/9/26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3949E581" w:rsidR="00DA0755" w:rsidRP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09604B">
                    <w:rPr>
                      <w:sz w:val="22"/>
                      <w:szCs w:val="22"/>
                    </w:rPr>
                    <w:t>Change in Collection Container and Fixative for Non-Gynecologic Cytology specimens.</w:t>
                  </w:r>
                </w:p>
                <w:p w14:paraId="28018C97" w14:textId="5E7B5831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71FEBB07" w14:textId="77777777" w:rsidR="00C3790C" w:rsidRDefault="00C3790C" w:rsidP="00C3790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Effective Monday, February 9, 2026, we will be transitioning from the Yellow Top Jars (containing 50% Ethanol) to the Light Blue Top CytoLyt Jars (containing CytoLyt Solution) for primary non-gynecologic cytology specimen collection and fixation.</w:t>
                  </w:r>
                </w:p>
                <w:p w14:paraId="5459FF57" w14:textId="77777777" w:rsidR="00C3790C" w:rsidRDefault="00C3790C" w:rsidP="00C3790C">
                  <w:pPr>
                    <w:rPr>
                      <w:rFonts w:eastAsia="Times New Roman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2"/>
                    <w:gridCol w:w="4520"/>
                  </w:tblGrid>
                  <w:tr w:rsidR="00C3790C" w14:paraId="479ED1F4" w14:textId="77777777" w:rsidTr="001B1E41">
                    <w:tc>
                      <w:tcPr>
                        <w:tcW w:w="4675" w:type="dxa"/>
                      </w:tcPr>
                      <w:p w14:paraId="1BA599EE" w14:textId="77777777" w:rsidR="00C3790C" w:rsidRPr="00E8613B" w:rsidRDefault="00C3790C" w:rsidP="00C3790C">
                        <w:pPr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E8613B">
                          <w:rPr>
                            <w:rFonts w:eastAsia="Times New Roman"/>
                            <w:b/>
                            <w:bCs/>
                          </w:rPr>
                          <w:t>Previous Container</w:t>
                        </w:r>
                      </w:p>
                    </w:tc>
                    <w:tc>
                      <w:tcPr>
                        <w:tcW w:w="4675" w:type="dxa"/>
                      </w:tcPr>
                      <w:p w14:paraId="3B0EF376" w14:textId="77777777" w:rsidR="00C3790C" w:rsidRPr="00E8613B" w:rsidRDefault="00C3790C" w:rsidP="00C3790C">
                        <w:pPr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E8613B">
                          <w:rPr>
                            <w:rFonts w:eastAsia="Times New Roman"/>
                            <w:b/>
                            <w:bCs/>
                          </w:rPr>
                          <w:t>New Container</w:t>
                        </w:r>
                      </w:p>
                    </w:tc>
                  </w:tr>
                  <w:tr w:rsidR="00C3790C" w14:paraId="5FAD1837" w14:textId="77777777" w:rsidTr="001B1E41">
                    <w:tc>
                      <w:tcPr>
                        <w:tcW w:w="4675" w:type="dxa"/>
                      </w:tcPr>
                      <w:p w14:paraId="32E9608C" w14:textId="77777777" w:rsidR="00C3790C" w:rsidRDefault="00C3790C" w:rsidP="00C3790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A6BB942" wp14:editId="21AEFF08">
                              <wp:extent cx="1259456" cy="1259456"/>
                              <wp:effectExtent l="0" t="0" r="0" b="0"/>
                              <wp:docPr id="455012610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0598" cy="12605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675" w:type="dxa"/>
                      </w:tcPr>
                      <w:p w14:paraId="3E29ABB5" w14:textId="77777777" w:rsidR="00C3790C" w:rsidRDefault="00C3790C" w:rsidP="00C3790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17A9884" wp14:editId="6739EC26">
                              <wp:extent cx="1000664" cy="1430065"/>
                              <wp:effectExtent l="0" t="0" r="9525" b="0"/>
                              <wp:docPr id="1888974312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4912" cy="14361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3790C" w14:paraId="448FE58E" w14:textId="77777777" w:rsidTr="001B1E41">
                    <w:tc>
                      <w:tcPr>
                        <w:tcW w:w="4675" w:type="dxa"/>
                      </w:tcPr>
                      <w:p w14:paraId="0E86F18A" w14:textId="77777777" w:rsidR="00C3790C" w:rsidRDefault="00C3790C" w:rsidP="00C3790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Yellow Top Jar</w:t>
                        </w:r>
                      </w:p>
                    </w:tc>
                    <w:tc>
                      <w:tcPr>
                        <w:tcW w:w="4675" w:type="dxa"/>
                      </w:tcPr>
                      <w:p w14:paraId="69ED02C3" w14:textId="77777777" w:rsidR="00C3790C" w:rsidRDefault="00C3790C" w:rsidP="00C3790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Light Blue Top CytoLyt Jar</w:t>
                        </w:r>
                      </w:p>
                    </w:tc>
                  </w:tr>
                  <w:tr w:rsidR="00C3790C" w14:paraId="27462E52" w14:textId="77777777" w:rsidTr="001B1E41">
                    <w:tc>
                      <w:tcPr>
                        <w:tcW w:w="4675" w:type="dxa"/>
                      </w:tcPr>
                      <w:p w14:paraId="5F6655F2" w14:textId="77777777" w:rsidR="00C3790C" w:rsidRDefault="00C3790C" w:rsidP="00C3790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50% Ethanol (Alcohol)</w:t>
                        </w:r>
                      </w:p>
                    </w:tc>
                    <w:tc>
                      <w:tcPr>
                        <w:tcW w:w="4675" w:type="dxa"/>
                      </w:tcPr>
                      <w:p w14:paraId="73FC0B30" w14:textId="77777777" w:rsidR="00C3790C" w:rsidRDefault="00C3790C" w:rsidP="00C3790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CytoLyt Solution</w:t>
                        </w:r>
                      </w:p>
                    </w:tc>
                  </w:tr>
                </w:tbl>
                <w:p w14:paraId="64AD9374" w14:textId="77777777" w:rsidR="00C3790C" w:rsidRDefault="00C3790C" w:rsidP="003D60F7">
                  <w:pPr>
                    <w:rPr>
                      <w:sz w:val="22"/>
                      <w:szCs w:val="22"/>
                    </w:rPr>
                  </w:pPr>
                </w:p>
                <w:p w14:paraId="2E7E4F4D" w14:textId="77777777" w:rsidR="00C3790C" w:rsidRDefault="00C3790C" w:rsidP="00C3790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This transition is being made to improve the quality and processing of non-gynecologic cytology specimens. The CytoLyt solution is a PreservCyt-based fluid that offers several advantages over alcohol fixation.</w:t>
                  </w:r>
                </w:p>
                <w:p w14:paraId="3EB51683" w14:textId="77777777" w:rsidR="00C3790C" w:rsidRDefault="00C3790C" w:rsidP="00C3790C">
                  <w:pPr>
                    <w:rPr>
                      <w:rFonts w:eastAsia="Times New Roman"/>
                    </w:rPr>
                  </w:pPr>
                </w:p>
                <w:p w14:paraId="52E483AD" w14:textId="442D7BC0" w:rsidR="00C3790C" w:rsidRPr="00C3790C" w:rsidRDefault="00C3790C" w:rsidP="00C3790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="Times New Roman"/>
                    </w:rPr>
                    <w:t>**Note:** Specimens collected in 50% Ethanol will continue to be accepted until current stock is used up.</w:t>
                  </w:r>
                </w:p>
                <w:p w14:paraId="648D9EF5" w14:textId="16CD8C63" w:rsid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54A064EE" w14:textId="77777777" w:rsidR="00C3790C" w:rsidRPr="002C267A" w:rsidRDefault="00C3790C" w:rsidP="003D60F7">
                  <w:pPr>
                    <w:rPr>
                      <w:sz w:val="22"/>
                      <w:szCs w:val="22"/>
                    </w:rPr>
                  </w:pPr>
                </w:p>
                <w:p w14:paraId="668F69A2" w14:textId="665BB25C" w:rsidR="002C267A" w:rsidRDefault="002C267A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p w14:paraId="5ABC3770" w14:textId="77777777" w:rsidR="00C3790C" w:rsidRDefault="00C3790C" w:rsidP="003D60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Jenel Liphart </w:t>
                  </w:r>
                </w:p>
                <w:p w14:paraId="69456FDC" w14:textId="77777777" w:rsidR="00C3790C" w:rsidRDefault="00C3790C" w:rsidP="003D60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608-259-3441 </w:t>
                  </w:r>
                </w:p>
                <w:p w14:paraId="66D651C1" w14:textId="62CA6344" w:rsidR="002C267A" w:rsidRPr="00C3790C" w:rsidRDefault="00C3790C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eastAsia="Times New Roman"/>
                    </w:rPr>
                    <w:t>jenel.liphart@ssmhealth.com</w:t>
                  </w:r>
                </w:p>
                <w:p w14:paraId="179F7EEC" w14:textId="77777777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951EB3">
                  <w:pPr>
                    <w:spacing w:after="20"/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951EB3">
                  <w:pPr>
                    <w:spacing w:after="2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951EB3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951EB3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951EB3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951EB3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17"/>
  </w:num>
  <w:num w:numId="2" w16cid:durableId="1716543013">
    <w:abstractNumId w:val="14"/>
  </w:num>
  <w:num w:numId="3" w16cid:durableId="1959138767">
    <w:abstractNumId w:val="16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2"/>
  </w:num>
  <w:num w:numId="15" w16cid:durableId="540745808">
    <w:abstractNumId w:val="13"/>
  </w:num>
  <w:num w:numId="16" w16cid:durableId="766509262">
    <w:abstractNumId w:val="15"/>
  </w:num>
  <w:num w:numId="17" w16cid:durableId="1755780770">
    <w:abstractNumId w:val="11"/>
  </w:num>
  <w:num w:numId="18" w16cid:durableId="54738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09604B"/>
    <w:rsid w:val="002356A7"/>
    <w:rsid w:val="00276A61"/>
    <w:rsid w:val="002C267A"/>
    <w:rsid w:val="002C410F"/>
    <w:rsid w:val="003C1DF3"/>
    <w:rsid w:val="00566F69"/>
    <w:rsid w:val="00620514"/>
    <w:rsid w:val="00622925"/>
    <w:rsid w:val="00776D5D"/>
    <w:rsid w:val="00843D4F"/>
    <w:rsid w:val="00916D87"/>
    <w:rsid w:val="00951EB3"/>
    <w:rsid w:val="00957D59"/>
    <w:rsid w:val="00971FB2"/>
    <w:rsid w:val="00BF7589"/>
    <w:rsid w:val="00C3790C"/>
    <w:rsid w:val="00C57906"/>
    <w:rsid w:val="00C700F9"/>
    <w:rsid w:val="00C85F37"/>
    <w:rsid w:val="00DA0755"/>
    <w:rsid w:val="00DF7872"/>
    <w:rsid w:val="00E66891"/>
    <w:rsid w:val="00EA625F"/>
    <w:rsid w:val="00EF22C8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199</Words>
  <Characters>1143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3</cp:revision>
  <cp:lastPrinted>2023-01-05T13:40:00Z</cp:lastPrinted>
  <dcterms:created xsi:type="dcterms:W3CDTF">2026-02-10T18:53:00Z</dcterms:created>
  <dcterms:modified xsi:type="dcterms:W3CDTF">2026-02-10T19:23:00Z</dcterms:modified>
</cp:coreProperties>
</file>