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E325" w14:textId="3C4E204C" w:rsidR="001C5BD4" w:rsidRPr="003E6457" w:rsidRDefault="003E6457" w:rsidP="001C1AB9">
      <w:pPr>
        <w:pStyle w:val="BodyText0"/>
        <w:tabs>
          <w:tab w:val="left" w:pos="2340"/>
        </w:tabs>
        <w:rPr>
          <w:rFonts w:ascii="Georgia" w:hAnsi="Georgia"/>
          <w:color w:val="003A96"/>
          <w:sz w:val="40"/>
          <w:szCs w:val="40"/>
        </w:rPr>
      </w:pPr>
      <w:r w:rsidRPr="003E6457">
        <w:rPr>
          <w:bCs/>
          <w:noProof/>
          <w:color w:val="003A96"/>
          <w:sz w:val="20"/>
          <w:szCs w:val="20"/>
        </w:rPr>
        <w:drawing>
          <wp:anchor distT="0" distB="0" distL="114300" distR="114300" simplePos="0" relativeHeight="251681792" behindDoc="1" locked="0" layoutInCell="1" allowOverlap="1" wp14:anchorId="5E847302" wp14:editId="22B05B08">
            <wp:simplePos x="0" y="0"/>
            <wp:positionH relativeFrom="column">
              <wp:posOffset>-635</wp:posOffset>
            </wp:positionH>
            <wp:positionV relativeFrom="paragraph">
              <wp:posOffset>-533400</wp:posOffset>
            </wp:positionV>
            <wp:extent cx="2712972" cy="392371"/>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12972" cy="392371"/>
                    </a:xfrm>
                    <a:prstGeom prst="rect">
                      <a:avLst/>
                    </a:prstGeom>
                  </pic:spPr>
                </pic:pic>
              </a:graphicData>
            </a:graphic>
            <wp14:sizeRelH relativeFrom="page">
              <wp14:pctWidth>0</wp14:pctWidth>
            </wp14:sizeRelH>
            <wp14:sizeRelV relativeFrom="page">
              <wp14:pctHeight>0</wp14:pctHeight>
            </wp14:sizeRelV>
          </wp:anchor>
        </w:drawing>
      </w:r>
      <w:r w:rsidRPr="003E6457">
        <w:rPr>
          <w:rFonts w:ascii="Georgia" w:hAnsi="Georgia"/>
          <w:noProof/>
          <w:color w:val="003A96"/>
          <w:sz w:val="40"/>
          <w:szCs w:val="40"/>
        </w:rPr>
        <mc:AlternateContent>
          <mc:Choice Requires="wps">
            <w:drawing>
              <wp:anchor distT="0" distB="0" distL="114300" distR="114300" simplePos="0" relativeHeight="251667456" behindDoc="1" locked="0" layoutInCell="1" allowOverlap="0" wp14:anchorId="313E6526" wp14:editId="494079F9">
                <wp:simplePos x="0" y="0"/>
                <wp:positionH relativeFrom="column">
                  <wp:posOffset>3952875</wp:posOffset>
                </wp:positionH>
                <wp:positionV relativeFrom="page">
                  <wp:posOffset>380999</wp:posOffset>
                </wp:positionV>
                <wp:extent cx="4533900" cy="5619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533900" cy="561975"/>
                        </a:xfrm>
                        <a:prstGeom prst="rect">
                          <a:avLst/>
                        </a:prstGeom>
                        <a:noFill/>
                        <a:ln w="6350">
                          <a:noFill/>
                        </a:ln>
                      </wps:spPr>
                      <wps:txbx>
                        <w:txbxContent>
                          <w:p w14:paraId="3A8E715D" w14:textId="753C3EB8" w:rsidR="004A5476" w:rsidRPr="0002474D" w:rsidRDefault="00E70174" w:rsidP="00CF10A9">
                            <w:pPr>
                              <w:pStyle w:val="Header"/>
                              <w:jc w:val="right"/>
                              <w:rPr>
                                <w:b/>
                              </w:rPr>
                            </w:pPr>
                            <w:r>
                              <w:rPr>
                                <w:b/>
                                <w:color w:val="003A96"/>
                                <w:sz w:val="24"/>
                                <w:szCs w:val="24"/>
                              </w:rPr>
                              <w:t>Department of Pathology &amp; Laboratory Medicine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E6526" id="_x0000_t202" coordsize="21600,21600" o:spt="202" path="m,l,21600r21600,l21600,xe">
                <v:stroke joinstyle="miter"/>
                <v:path gradientshapeok="t" o:connecttype="rect"/>
              </v:shapetype>
              <v:shape id="Text Box 13" o:spid="_x0000_s1026" type="#_x0000_t202" style="position:absolute;margin-left:311.25pt;margin-top:30pt;width:357pt;height:4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LqFgIAACw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" o:allowoverlap="f" filled="f" stroked="f" strokeweight=".5pt">
                <v:textbox>
                  <w:txbxContent>
                    <w:p w14:paraId="3A8E715D" w14:textId="753C3EB8" w:rsidR="004A5476" w:rsidRPr="0002474D" w:rsidRDefault="00E70174" w:rsidP="00CF10A9">
                      <w:pPr>
                        <w:pStyle w:val="Header"/>
                        <w:jc w:val="right"/>
                        <w:rPr>
                          <w:b/>
                        </w:rPr>
                      </w:pPr>
                      <w:r>
                        <w:rPr>
                          <w:b/>
                          <w:color w:val="003A96"/>
                          <w:sz w:val="24"/>
                          <w:szCs w:val="24"/>
                        </w:rPr>
                        <w:t>Department of Pathology &amp; Laboratory Medicine</w:t>
                      </w:r>
                    </w:p>
                  </w:txbxContent>
                </v:textbox>
                <w10:wrap anchory="page"/>
              </v:shape>
            </w:pict>
          </mc:Fallback>
        </mc:AlternateContent>
      </w:r>
      <w:r w:rsidR="0002474D" w:rsidRPr="003E6457">
        <w:rPr>
          <w:rFonts w:ascii="Georgia" w:hAnsi="Georgia"/>
          <w:color w:val="003A96"/>
          <w:sz w:val="40"/>
          <w:szCs w:val="40"/>
        </w:rPr>
        <w:t>Memorandum</w:t>
      </w:r>
      <w:r w:rsidR="00046BAD" w:rsidRPr="003E6457">
        <w:rPr>
          <w:rFonts w:ascii="Georgia" w:hAnsi="Georgia"/>
          <w:color w:val="003A96"/>
          <w:sz w:val="40"/>
          <w:szCs w:val="40"/>
        </w:rPr>
        <w:t xml:space="preserve"> </w:t>
      </w:r>
    </w:p>
    <w:p w14:paraId="731EC114" w14:textId="77777777" w:rsidR="001C5BD4" w:rsidRPr="003E6457" w:rsidRDefault="001C5BD4" w:rsidP="001C5BD4">
      <w:pPr>
        <w:pStyle w:val="TableParagraph"/>
        <w:spacing w:before="87"/>
        <w:rPr>
          <w:b/>
          <w:sz w:val="16"/>
          <w:szCs w:val="16"/>
        </w:rPr>
      </w:pPr>
    </w:p>
    <w:p w14:paraId="67A76BF3" w14:textId="2922DEE6" w:rsidR="0002474D" w:rsidRPr="0002474D" w:rsidRDefault="0002474D" w:rsidP="0002474D">
      <w:pPr>
        <w:pStyle w:val="Bodytext"/>
        <w:spacing w:after="0"/>
        <w:rPr>
          <w:rFonts w:ascii="Calibri" w:eastAsia="Calibri" w:hAnsi="Calibri" w:cs="Calibri"/>
          <w:b/>
          <w:sz w:val="24"/>
          <w:szCs w:val="24"/>
        </w:rPr>
      </w:pPr>
      <w:r w:rsidRPr="0002474D">
        <w:rPr>
          <w:rFonts w:ascii="Calibri" w:eastAsia="Arial" w:hAnsi="Calibri" w:cs="Calibri"/>
          <w:b/>
          <w:sz w:val="24"/>
          <w:szCs w:val="24"/>
          <w:lang w:bidi="en-US"/>
        </w:rPr>
        <w:t xml:space="preserve">Date: </w:t>
      </w:r>
      <w:r w:rsidRPr="0002474D">
        <w:rPr>
          <w:rFonts w:ascii="Calibri" w:eastAsia="Arial" w:hAnsi="Calibri" w:cs="Calibri"/>
          <w:b/>
          <w:sz w:val="24"/>
          <w:szCs w:val="24"/>
          <w:lang w:bidi="en-US"/>
        </w:rPr>
        <w:tab/>
      </w:r>
      <w:r w:rsidRPr="0002474D">
        <w:rPr>
          <w:rFonts w:ascii="Calibri" w:eastAsia="Arial" w:hAnsi="Calibri" w:cs="Calibri"/>
          <w:b/>
          <w:sz w:val="24"/>
          <w:szCs w:val="24"/>
          <w:lang w:bidi="en-US"/>
        </w:rPr>
        <w:tab/>
      </w:r>
      <w:r w:rsidR="00154AC0">
        <w:rPr>
          <w:rFonts w:ascii="Calibri" w:eastAsia="Arial" w:hAnsi="Calibri" w:cs="Calibri"/>
          <w:b/>
          <w:sz w:val="24"/>
          <w:szCs w:val="24"/>
          <w:lang w:bidi="en-US"/>
        </w:rPr>
        <w:t>April 4</w:t>
      </w:r>
      <w:r w:rsidRPr="0002474D">
        <w:rPr>
          <w:rFonts w:ascii="Calibri" w:eastAsia="Arial" w:hAnsi="Calibri" w:cs="Calibri"/>
          <w:b/>
          <w:sz w:val="24"/>
          <w:szCs w:val="24"/>
          <w:lang w:bidi="en-US"/>
        </w:rPr>
        <w:t>, 2022</w:t>
      </w:r>
      <w:r w:rsidRPr="0002474D">
        <w:rPr>
          <w:rFonts w:ascii="Calibri" w:eastAsia="Arial" w:hAnsi="Calibri" w:cs="Calibri"/>
          <w:b/>
          <w:sz w:val="24"/>
          <w:szCs w:val="24"/>
          <w:lang w:bidi="en-US"/>
        </w:rPr>
        <w:br/>
        <w:t xml:space="preserve">To: </w:t>
      </w:r>
      <w:r w:rsidRPr="0002474D">
        <w:rPr>
          <w:rFonts w:ascii="Calibri" w:eastAsia="Arial" w:hAnsi="Calibri" w:cs="Calibri"/>
          <w:b/>
          <w:sz w:val="24"/>
          <w:szCs w:val="24"/>
          <w:lang w:bidi="en-US"/>
        </w:rPr>
        <w:tab/>
      </w:r>
      <w:r w:rsidRPr="0002474D">
        <w:rPr>
          <w:rFonts w:ascii="Calibri" w:eastAsia="Arial" w:hAnsi="Calibri" w:cs="Calibri"/>
          <w:b/>
          <w:sz w:val="24"/>
          <w:szCs w:val="24"/>
          <w:lang w:bidi="en-US"/>
        </w:rPr>
        <w:tab/>
      </w:r>
      <w:r w:rsidR="003E6457">
        <w:rPr>
          <w:rFonts w:ascii="Calibri" w:eastAsia="Arial" w:hAnsi="Calibri" w:cs="Calibri"/>
          <w:b/>
          <w:sz w:val="24"/>
          <w:szCs w:val="24"/>
          <w:lang w:bidi="en-US"/>
        </w:rPr>
        <w:t>Medical Staff and Nursing Staff</w:t>
      </w:r>
      <w:r w:rsidRPr="0002474D">
        <w:rPr>
          <w:rFonts w:ascii="Calibri" w:eastAsia="Arial" w:hAnsi="Calibri" w:cs="Calibri"/>
          <w:b/>
          <w:sz w:val="24"/>
          <w:szCs w:val="24"/>
          <w:lang w:bidi="en-US"/>
        </w:rPr>
        <w:br/>
        <w:t xml:space="preserve">From: </w:t>
      </w:r>
      <w:r w:rsidRPr="0002474D">
        <w:rPr>
          <w:rFonts w:ascii="Calibri" w:eastAsia="Arial" w:hAnsi="Calibri" w:cs="Calibri"/>
          <w:b/>
          <w:sz w:val="24"/>
          <w:szCs w:val="24"/>
          <w:lang w:bidi="en-US"/>
        </w:rPr>
        <w:tab/>
      </w:r>
      <w:r w:rsidRPr="0002474D">
        <w:rPr>
          <w:rFonts w:ascii="Calibri" w:eastAsia="Arial" w:hAnsi="Calibri" w:cs="Calibri"/>
          <w:b/>
          <w:sz w:val="24"/>
          <w:szCs w:val="24"/>
          <w:lang w:bidi="en-US"/>
        </w:rPr>
        <w:tab/>
      </w:r>
      <w:r w:rsidRPr="0002474D">
        <w:rPr>
          <w:rFonts w:ascii="Calibri" w:eastAsia="Calibri" w:hAnsi="Calibri" w:cs="Calibri"/>
          <w:b/>
          <w:sz w:val="24"/>
          <w:szCs w:val="24"/>
        </w:rPr>
        <w:t>Vasu Maganti, PhD</w:t>
      </w:r>
      <w:r w:rsidR="00D77E26">
        <w:rPr>
          <w:rFonts w:ascii="Calibri" w:eastAsia="Calibri" w:hAnsi="Calibri" w:cs="Calibri"/>
          <w:b/>
          <w:sz w:val="24"/>
          <w:szCs w:val="24"/>
        </w:rPr>
        <w:t>, Laboratory Director</w:t>
      </w:r>
    </w:p>
    <w:p w14:paraId="4E282433" w14:textId="428E88CA" w:rsidR="003E6457" w:rsidRDefault="00D77E26" w:rsidP="003E6457">
      <w:pPr>
        <w:pStyle w:val="Bodytext"/>
        <w:spacing w:after="0"/>
        <w:ind w:left="720" w:firstLine="720"/>
        <w:rPr>
          <w:rFonts w:ascii="Calibri" w:eastAsia="Calibri" w:hAnsi="Calibri" w:cs="Calibri"/>
          <w:b/>
          <w:sz w:val="24"/>
          <w:szCs w:val="24"/>
        </w:rPr>
      </w:pPr>
      <w:r>
        <w:rPr>
          <w:rFonts w:ascii="Calibri" w:eastAsia="Calibri" w:hAnsi="Calibri" w:cs="Calibri"/>
          <w:b/>
          <w:sz w:val="24"/>
          <w:szCs w:val="24"/>
        </w:rPr>
        <w:t>David Gray, MD, Medical Director</w:t>
      </w:r>
    </w:p>
    <w:p w14:paraId="71229442" w14:textId="07AF0D32" w:rsidR="00D77E26" w:rsidRPr="00D77E26" w:rsidRDefault="00D77E26" w:rsidP="00D77E26">
      <w:pPr>
        <w:rPr>
          <w:b/>
          <w:bCs/>
          <w:sz w:val="24"/>
          <w:szCs w:val="24"/>
        </w:rPr>
      </w:pPr>
      <w:r>
        <w:tab/>
      </w:r>
      <w:r>
        <w:tab/>
      </w:r>
      <w:r w:rsidRPr="00D77E26">
        <w:rPr>
          <w:b/>
          <w:bCs/>
          <w:sz w:val="24"/>
          <w:szCs w:val="24"/>
        </w:rPr>
        <w:t>Holly Lapierre, MT, Clinical Laboratory Supervisor</w:t>
      </w:r>
    </w:p>
    <w:p w14:paraId="00B17330" w14:textId="36A1AD6E" w:rsidR="0002474D" w:rsidRPr="0002474D" w:rsidRDefault="0002474D" w:rsidP="003E6457">
      <w:pPr>
        <w:pStyle w:val="Bodytext"/>
        <w:spacing w:after="0"/>
        <w:rPr>
          <w:rFonts w:ascii="Calibri" w:eastAsia="Arial" w:hAnsi="Calibri" w:cs="Calibri"/>
          <w:b/>
          <w:sz w:val="24"/>
          <w:szCs w:val="24"/>
          <w:lang w:bidi="en-US"/>
        </w:rPr>
      </w:pPr>
      <w:r w:rsidRPr="0002474D">
        <w:rPr>
          <w:rFonts w:ascii="Calibri" w:eastAsia="Arial" w:hAnsi="Calibri" w:cs="Calibri"/>
          <w:b/>
          <w:sz w:val="24"/>
          <w:szCs w:val="24"/>
          <w:lang w:bidi="en-US"/>
        </w:rPr>
        <w:t xml:space="preserve">Subject: </w:t>
      </w:r>
      <w:r w:rsidRPr="0002474D">
        <w:rPr>
          <w:rFonts w:ascii="Calibri" w:eastAsia="Arial" w:hAnsi="Calibri" w:cs="Calibri"/>
          <w:b/>
          <w:sz w:val="24"/>
          <w:szCs w:val="24"/>
          <w:lang w:bidi="en-US"/>
        </w:rPr>
        <w:tab/>
      </w:r>
      <w:r w:rsidR="003E6457" w:rsidRPr="003E6457">
        <w:rPr>
          <w:rFonts w:ascii="Calibri" w:eastAsia="Calibri" w:hAnsi="Calibri" w:cs="Calibri"/>
          <w:b/>
          <w:sz w:val="24"/>
          <w:szCs w:val="24"/>
        </w:rPr>
        <w:t xml:space="preserve">New Cardiac Highly Sensitive Troponin </w:t>
      </w:r>
      <w:r w:rsidR="00EF0F45">
        <w:rPr>
          <w:rFonts w:ascii="Calibri" w:eastAsia="Calibri" w:hAnsi="Calibri" w:cs="Calibri"/>
          <w:b/>
          <w:sz w:val="24"/>
          <w:szCs w:val="24"/>
        </w:rPr>
        <w:t>T Test</w:t>
      </w:r>
    </w:p>
    <w:p w14:paraId="43400FCA" w14:textId="77777777" w:rsidR="003E6457" w:rsidRPr="003E6457" w:rsidRDefault="003E6457" w:rsidP="0002474D">
      <w:pPr>
        <w:rPr>
          <w:sz w:val="16"/>
          <w:szCs w:val="16"/>
        </w:rPr>
      </w:pPr>
    </w:p>
    <w:p w14:paraId="2F65AC86" w14:textId="7EC83B34" w:rsidR="0002474D" w:rsidRPr="003E6457" w:rsidRDefault="0002474D" w:rsidP="0002474D">
      <w:pPr>
        <w:rPr>
          <w:sz w:val="16"/>
          <w:szCs w:val="16"/>
        </w:rPr>
      </w:pPr>
      <w:r w:rsidRPr="0002474D">
        <w:rPr>
          <w:sz w:val="24"/>
          <w:szCs w:val="24"/>
        </w:rPr>
        <w:t>Dear Colleagues,</w:t>
      </w:r>
      <w:r w:rsidR="003E6457">
        <w:rPr>
          <w:sz w:val="24"/>
          <w:szCs w:val="24"/>
        </w:rPr>
        <w:br/>
      </w:r>
    </w:p>
    <w:p w14:paraId="74070D7E" w14:textId="77777777" w:rsidR="007D044C" w:rsidRDefault="007D044C" w:rsidP="007D044C">
      <w:r>
        <w:rPr>
          <w:color w:val="000000"/>
        </w:rPr>
        <w:t>Expected Effective</w:t>
      </w:r>
      <w:r>
        <w:t xml:space="preserve"> 4/11/2023</w:t>
      </w:r>
      <w:r>
        <w:rPr>
          <w:color w:val="000000"/>
        </w:rPr>
        <w:t xml:space="preserve">, the WDH Laboratory will switch to a new </w:t>
      </w:r>
      <w:r>
        <w:rPr>
          <w:color w:val="000000"/>
          <w:u w:val="single"/>
        </w:rPr>
        <w:t>highly sensitive Troponin T</w:t>
      </w:r>
      <w:r>
        <w:rPr>
          <w:color w:val="000000"/>
        </w:rPr>
        <w:t xml:space="preserve"> assay.  The new test will be performed on the Roche chemistry line of instruments.  These instruments are standardized among the MGB laboratories as are the new Troponin assay parameters.  The reference ranges, cut off points, and interpretive guidelines will now be standardized across MGB.  </w:t>
      </w:r>
      <w:r>
        <w:t xml:space="preserve">This new assay offers improved precision to improve discrimination at diagnostic decision levels. It also allows for the detection of smaller infarcts and potential use of accelerated diagnostic protocols, which will lead to more efficient and better patient care.  </w:t>
      </w:r>
      <w:r>
        <w:rPr>
          <w:color w:val="000000"/>
        </w:rPr>
        <w:t xml:space="preserve">The new Gen 5 Troponin-T assay is the first true highly sensitive troponin to be marketed in the U.S.  It has been used throughout Europe, Canada, and the rest of the world since 2009.  </w:t>
      </w:r>
    </w:p>
    <w:p w14:paraId="4A8CDB85" w14:textId="77777777" w:rsidR="003E6457" w:rsidRPr="00054CC0" w:rsidRDefault="003E6457" w:rsidP="003E6457">
      <w:pPr>
        <w:rPr>
          <w:color w:val="000000"/>
          <w:sz w:val="16"/>
          <w:szCs w:val="16"/>
        </w:rPr>
      </w:pPr>
    </w:p>
    <w:p w14:paraId="533EAE08" w14:textId="06B79CF8" w:rsidR="003E6457" w:rsidRDefault="003E6457" w:rsidP="003E6457">
      <w:pPr>
        <w:rPr>
          <w:color w:val="000000"/>
        </w:rPr>
      </w:pPr>
      <w:r>
        <w:rPr>
          <w:color w:val="000000"/>
        </w:rPr>
        <w:t>Current and new reference ranges for both biomarkers are listed below.</w:t>
      </w:r>
    </w:p>
    <w:p w14:paraId="4D0D91D0" w14:textId="7E35998B" w:rsidR="00D77E26" w:rsidRDefault="00D77E26" w:rsidP="003E6457">
      <w:pPr>
        <w:rPr>
          <w:color w:val="000000"/>
        </w:rPr>
      </w:pPr>
      <w:r>
        <w:rPr>
          <w:color w:val="000000"/>
        </w:rPr>
        <w:t xml:space="preserve">Specimen requirements </w:t>
      </w:r>
      <w:r w:rsidR="00A22439" w:rsidRPr="00A22439">
        <w:rPr>
          <w:b/>
          <w:bCs/>
          <w:color w:val="000000"/>
        </w:rPr>
        <w:t>(</w:t>
      </w:r>
      <w:r w:rsidR="00A22439" w:rsidRPr="00A22439">
        <w:rPr>
          <w:b/>
          <w:bCs/>
        </w:rPr>
        <w:t>PST; lithium heparin plasma</w:t>
      </w:r>
      <w:r w:rsidR="00A22439" w:rsidRPr="00A22439">
        <w:rPr>
          <w:b/>
          <w:bCs/>
        </w:rPr>
        <w:t>)</w:t>
      </w:r>
      <w:r>
        <w:rPr>
          <w:color w:val="000000"/>
        </w:rPr>
        <w:t xml:space="preserve"> and </w:t>
      </w:r>
      <w:r w:rsidRPr="00D77E26">
        <w:rPr>
          <w:b/>
          <w:bCs/>
          <w:color w:val="000000"/>
        </w:rPr>
        <w:t xml:space="preserve">Epic </w:t>
      </w:r>
      <w:r w:rsidR="00A22439">
        <w:rPr>
          <w:b/>
          <w:bCs/>
          <w:color w:val="000000"/>
        </w:rPr>
        <w:t xml:space="preserve">lab </w:t>
      </w:r>
      <w:r w:rsidRPr="00D77E26">
        <w:rPr>
          <w:b/>
          <w:bCs/>
          <w:color w:val="000000"/>
        </w:rPr>
        <w:t>order code (LAB139)</w:t>
      </w:r>
      <w:r>
        <w:rPr>
          <w:color w:val="000000"/>
        </w:rPr>
        <w:t xml:space="preserve"> remain unchanged.</w:t>
      </w:r>
    </w:p>
    <w:p w14:paraId="26A739FB" w14:textId="77777777" w:rsidR="003E6457" w:rsidRPr="00054CC0" w:rsidRDefault="003E6457" w:rsidP="003E6457">
      <w:pPr>
        <w:rPr>
          <w:color w:val="000000"/>
          <w:sz w:val="16"/>
          <w:szCs w:val="16"/>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4590"/>
        <w:gridCol w:w="4230"/>
      </w:tblGrid>
      <w:tr w:rsidR="008D5B86" w14:paraId="414E6FC7" w14:textId="77777777" w:rsidTr="002E4E03">
        <w:tc>
          <w:tcPr>
            <w:tcW w:w="1345" w:type="dxa"/>
            <w:shd w:val="clear" w:color="auto" w:fill="auto"/>
          </w:tcPr>
          <w:p w14:paraId="78681A30" w14:textId="77777777" w:rsidR="008D5B86" w:rsidRDefault="008D5B86" w:rsidP="00BF44AF">
            <w:pPr>
              <w:tabs>
                <w:tab w:val="left" w:pos="1260"/>
              </w:tabs>
              <w:ind w:right="-108"/>
            </w:pPr>
            <w:r>
              <w:t>Biomarker</w:t>
            </w:r>
          </w:p>
        </w:tc>
        <w:tc>
          <w:tcPr>
            <w:tcW w:w="4590" w:type="dxa"/>
            <w:shd w:val="clear" w:color="auto" w:fill="auto"/>
          </w:tcPr>
          <w:p w14:paraId="4CC192A1" w14:textId="748E71A9" w:rsidR="008D5B86" w:rsidRDefault="008D5B86" w:rsidP="008D5B86">
            <w:r>
              <w:t>Expected Results</w:t>
            </w:r>
          </w:p>
        </w:tc>
        <w:tc>
          <w:tcPr>
            <w:tcW w:w="4230" w:type="dxa"/>
          </w:tcPr>
          <w:p w14:paraId="129A3776" w14:textId="77777777" w:rsidR="008D5B86" w:rsidRDefault="008D5B86" w:rsidP="00BF44AF">
            <w:pPr>
              <w:jc w:val="center"/>
            </w:pPr>
            <w:r>
              <w:t>Interpretation</w:t>
            </w:r>
          </w:p>
        </w:tc>
      </w:tr>
      <w:tr w:rsidR="008D5B86" w14:paraId="6EC74274" w14:textId="77777777" w:rsidTr="002E4E03">
        <w:trPr>
          <w:trHeight w:val="3068"/>
        </w:trPr>
        <w:tc>
          <w:tcPr>
            <w:tcW w:w="1345" w:type="dxa"/>
            <w:shd w:val="clear" w:color="auto" w:fill="auto"/>
          </w:tcPr>
          <w:p w14:paraId="6FD0E1AB" w14:textId="412A73FC" w:rsidR="008D5B86" w:rsidRPr="00582219" w:rsidRDefault="008D5B86" w:rsidP="00BF44AF">
            <w:pPr>
              <w:tabs>
                <w:tab w:val="left" w:pos="1260"/>
              </w:tabs>
              <w:ind w:right="-108"/>
              <w:rPr>
                <w:b/>
                <w:bCs/>
                <w:sz w:val="24"/>
                <w:szCs w:val="24"/>
              </w:rPr>
            </w:pPr>
            <w:r w:rsidRPr="00582219">
              <w:rPr>
                <w:b/>
                <w:bCs/>
                <w:sz w:val="24"/>
                <w:szCs w:val="24"/>
              </w:rPr>
              <w:t>ROCHE</w:t>
            </w:r>
          </w:p>
          <w:p w14:paraId="14B06D3B" w14:textId="7F4F8415" w:rsidR="008D5B86" w:rsidRPr="00582219" w:rsidRDefault="008D5B86" w:rsidP="00BF44AF">
            <w:pPr>
              <w:tabs>
                <w:tab w:val="left" w:pos="1260"/>
              </w:tabs>
              <w:ind w:right="-108"/>
              <w:rPr>
                <w:b/>
                <w:bCs/>
                <w:color w:val="FF0000"/>
                <w:sz w:val="20"/>
                <w:szCs w:val="20"/>
              </w:rPr>
            </w:pPr>
            <w:r w:rsidRPr="00582219">
              <w:rPr>
                <w:b/>
                <w:bCs/>
                <w:color w:val="FF0000"/>
                <w:sz w:val="20"/>
                <w:szCs w:val="20"/>
              </w:rPr>
              <w:t>New method</w:t>
            </w:r>
          </w:p>
          <w:p w14:paraId="10EBE74B" w14:textId="77777777" w:rsidR="008D5B86" w:rsidRDefault="008D5B86" w:rsidP="00BF44AF">
            <w:pPr>
              <w:tabs>
                <w:tab w:val="left" w:pos="1260"/>
              </w:tabs>
              <w:ind w:right="-108"/>
              <w:rPr>
                <w:sz w:val="20"/>
                <w:szCs w:val="20"/>
              </w:rPr>
            </w:pPr>
          </w:p>
          <w:p w14:paraId="7922EAD3" w14:textId="144407CC" w:rsidR="008D5B86" w:rsidRPr="003E6457" w:rsidRDefault="008D5B86" w:rsidP="00BF44AF">
            <w:pPr>
              <w:tabs>
                <w:tab w:val="left" w:pos="1260"/>
              </w:tabs>
              <w:ind w:right="-108"/>
              <w:rPr>
                <w:sz w:val="20"/>
                <w:szCs w:val="20"/>
              </w:rPr>
            </w:pPr>
            <w:r>
              <w:rPr>
                <w:sz w:val="20"/>
                <w:szCs w:val="20"/>
              </w:rPr>
              <w:t xml:space="preserve">High sensitive </w:t>
            </w:r>
          </w:p>
          <w:p w14:paraId="0E7F6219" w14:textId="77777777" w:rsidR="008D5B86" w:rsidRDefault="008D5B86" w:rsidP="00BF44AF">
            <w:pPr>
              <w:tabs>
                <w:tab w:val="left" w:pos="1260"/>
              </w:tabs>
              <w:ind w:right="-108"/>
              <w:rPr>
                <w:sz w:val="20"/>
                <w:szCs w:val="20"/>
              </w:rPr>
            </w:pPr>
            <w:r w:rsidRPr="003E6457">
              <w:rPr>
                <w:sz w:val="20"/>
                <w:szCs w:val="20"/>
              </w:rPr>
              <w:t>Troponin-T</w:t>
            </w:r>
          </w:p>
          <w:p w14:paraId="4B979012" w14:textId="2D2781C9" w:rsidR="008D5B86" w:rsidRPr="003E6457" w:rsidRDefault="008D5B86" w:rsidP="00BF44AF">
            <w:pPr>
              <w:tabs>
                <w:tab w:val="left" w:pos="1260"/>
              </w:tabs>
              <w:ind w:right="-108"/>
              <w:rPr>
                <w:sz w:val="20"/>
                <w:szCs w:val="20"/>
              </w:rPr>
            </w:pPr>
          </w:p>
        </w:tc>
        <w:tc>
          <w:tcPr>
            <w:tcW w:w="4590" w:type="dxa"/>
            <w:shd w:val="clear" w:color="auto" w:fill="auto"/>
          </w:tcPr>
          <w:p w14:paraId="6B85EEEA" w14:textId="77777777" w:rsidR="00CE4811" w:rsidRPr="00CE4811" w:rsidRDefault="00CE4811" w:rsidP="00CE4811">
            <w:pPr>
              <w:rPr>
                <w:b/>
                <w:bCs/>
                <w:sz w:val="20"/>
                <w:szCs w:val="20"/>
              </w:rPr>
            </w:pPr>
            <w:r w:rsidRPr="00CE4811">
              <w:rPr>
                <w:b/>
                <w:bCs/>
                <w:sz w:val="20"/>
                <w:szCs w:val="20"/>
              </w:rPr>
              <w:t>Negative:</w:t>
            </w:r>
          </w:p>
          <w:p w14:paraId="3B722203" w14:textId="188C5A63" w:rsidR="008D5B86" w:rsidRPr="003E6457" w:rsidRDefault="008D5B86" w:rsidP="008D5B86">
            <w:pPr>
              <w:rPr>
                <w:sz w:val="20"/>
                <w:szCs w:val="20"/>
              </w:rPr>
            </w:pPr>
            <w:r w:rsidRPr="003E6457">
              <w:rPr>
                <w:sz w:val="20"/>
                <w:szCs w:val="20"/>
              </w:rPr>
              <w:t>&lt;</w:t>
            </w:r>
            <w:r w:rsidR="0008162B">
              <w:rPr>
                <w:sz w:val="20"/>
                <w:szCs w:val="20"/>
              </w:rPr>
              <w:t xml:space="preserve">0-9 </w:t>
            </w:r>
            <w:r w:rsidRPr="003E6457">
              <w:rPr>
                <w:sz w:val="20"/>
                <w:szCs w:val="20"/>
              </w:rPr>
              <w:t>ng/L Negative (Females)</w:t>
            </w:r>
          </w:p>
          <w:p w14:paraId="248F8FDA" w14:textId="5B7444F5" w:rsidR="008D5B86" w:rsidRPr="003E6457" w:rsidRDefault="008D5B86" w:rsidP="008D5B86">
            <w:pPr>
              <w:rPr>
                <w:sz w:val="20"/>
                <w:szCs w:val="20"/>
              </w:rPr>
            </w:pPr>
            <w:r w:rsidRPr="003E6457">
              <w:rPr>
                <w:sz w:val="20"/>
                <w:szCs w:val="20"/>
              </w:rPr>
              <w:t>&lt;</w:t>
            </w:r>
            <w:r w:rsidR="0008162B">
              <w:rPr>
                <w:sz w:val="20"/>
                <w:szCs w:val="20"/>
              </w:rPr>
              <w:t>0-14</w:t>
            </w:r>
            <w:r w:rsidRPr="003E6457">
              <w:rPr>
                <w:sz w:val="20"/>
                <w:szCs w:val="20"/>
              </w:rPr>
              <w:t xml:space="preserve"> ng/L Negative (Males)</w:t>
            </w:r>
          </w:p>
          <w:p w14:paraId="1DB6ED6B" w14:textId="77777777" w:rsidR="008D5B86" w:rsidRPr="00B00157" w:rsidRDefault="008D5B86" w:rsidP="008D5B86">
            <w:pPr>
              <w:rPr>
                <w:b/>
                <w:bCs/>
                <w:i/>
                <w:iCs/>
                <w:sz w:val="20"/>
                <w:szCs w:val="20"/>
              </w:rPr>
            </w:pPr>
          </w:p>
          <w:p w14:paraId="7AA1AEF3" w14:textId="5CD65549" w:rsidR="00CE4811" w:rsidRPr="00CE4811" w:rsidRDefault="00CE4811" w:rsidP="00CE4811">
            <w:pPr>
              <w:rPr>
                <w:b/>
                <w:bCs/>
                <w:sz w:val="20"/>
                <w:szCs w:val="20"/>
              </w:rPr>
            </w:pPr>
            <w:r w:rsidRPr="00CE4811">
              <w:rPr>
                <w:b/>
                <w:bCs/>
                <w:sz w:val="20"/>
                <w:szCs w:val="20"/>
              </w:rPr>
              <w:t>Grey zone:</w:t>
            </w:r>
          </w:p>
          <w:p w14:paraId="555D8F89" w14:textId="7571BC9B" w:rsidR="00FE3591" w:rsidRDefault="00FE3591" w:rsidP="00CE4811">
            <w:pPr>
              <w:rPr>
                <w:b/>
                <w:bCs/>
                <w:sz w:val="20"/>
                <w:szCs w:val="20"/>
              </w:rPr>
            </w:pPr>
            <w:r>
              <w:rPr>
                <w:sz w:val="20"/>
                <w:szCs w:val="20"/>
              </w:rPr>
              <w:t>Delta in</w:t>
            </w:r>
            <w:r w:rsidR="001D2E35">
              <w:rPr>
                <w:sz w:val="20"/>
                <w:szCs w:val="20"/>
              </w:rPr>
              <w:t>crease of</w:t>
            </w:r>
            <w:r>
              <w:rPr>
                <w:sz w:val="20"/>
                <w:szCs w:val="20"/>
              </w:rPr>
              <w:t xml:space="preserve"> 5 to 7 ng/L</w:t>
            </w:r>
            <w:r w:rsidR="001D2E35">
              <w:rPr>
                <w:sz w:val="20"/>
                <w:szCs w:val="20"/>
              </w:rPr>
              <w:t xml:space="preserve"> from baseline</w:t>
            </w:r>
          </w:p>
          <w:p w14:paraId="35061298" w14:textId="77777777" w:rsidR="00FE3591" w:rsidRDefault="00FE3591" w:rsidP="00CE4811">
            <w:pPr>
              <w:rPr>
                <w:b/>
                <w:bCs/>
                <w:sz w:val="20"/>
                <w:szCs w:val="20"/>
              </w:rPr>
            </w:pPr>
          </w:p>
          <w:p w14:paraId="0912C3AE" w14:textId="77777777" w:rsidR="008925E7" w:rsidRDefault="008925E7" w:rsidP="00CE4811">
            <w:pPr>
              <w:rPr>
                <w:b/>
                <w:bCs/>
                <w:sz w:val="20"/>
                <w:szCs w:val="20"/>
              </w:rPr>
            </w:pPr>
          </w:p>
          <w:p w14:paraId="469BAA05" w14:textId="78E87664" w:rsidR="00CE4811" w:rsidRPr="00CE4811" w:rsidRDefault="00CE4811" w:rsidP="00CE4811">
            <w:pPr>
              <w:rPr>
                <w:b/>
                <w:bCs/>
                <w:sz w:val="20"/>
                <w:szCs w:val="20"/>
              </w:rPr>
            </w:pPr>
            <w:r w:rsidRPr="00CE4811">
              <w:rPr>
                <w:b/>
                <w:bCs/>
                <w:sz w:val="20"/>
                <w:szCs w:val="20"/>
              </w:rPr>
              <w:t>Critical</w:t>
            </w:r>
            <w:r>
              <w:rPr>
                <w:b/>
                <w:bCs/>
                <w:sz w:val="20"/>
                <w:szCs w:val="20"/>
              </w:rPr>
              <w:t>:</w:t>
            </w:r>
          </w:p>
          <w:p w14:paraId="08C4CA07" w14:textId="06C98C95" w:rsidR="008D5B86" w:rsidRPr="003E6457" w:rsidRDefault="008D5B86" w:rsidP="008D5B86">
            <w:pPr>
              <w:rPr>
                <w:sz w:val="20"/>
                <w:szCs w:val="20"/>
              </w:rPr>
            </w:pPr>
            <w:r w:rsidRPr="003E6457">
              <w:rPr>
                <w:sz w:val="20"/>
                <w:szCs w:val="20"/>
              </w:rPr>
              <w:t>&gt;</w:t>
            </w:r>
            <w:r w:rsidR="0008162B">
              <w:rPr>
                <w:sz w:val="20"/>
                <w:szCs w:val="20"/>
              </w:rPr>
              <w:t>52</w:t>
            </w:r>
            <w:r w:rsidRPr="003E6457">
              <w:rPr>
                <w:sz w:val="20"/>
                <w:szCs w:val="20"/>
              </w:rPr>
              <w:t xml:space="preserve"> ng/L Specific indicator of AMI with</w:t>
            </w:r>
          </w:p>
          <w:p w14:paraId="6FC325D2" w14:textId="00872EE9" w:rsidR="008D5B86" w:rsidRPr="003E6457" w:rsidRDefault="008D5B86" w:rsidP="008D5B86">
            <w:pPr>
              <w:rPr>
                <w:sz w:val="20"/>
                <w:szCs w:val="20"/>
              </w:rPr>
            </w:pPr>
            <w:r w:rsidRPr="003E6457">
              <w:rPr>
                <w:sz w:val="20"/>
                <w:szCs w:val="20"/>
              </w:rPr>
              <w:t>Confirmatory Delta value</w:t>
            </w:r>
          </w:p>
        </w:tc>
        <w:tc>
          <w:tcPr>
            <w:tcW w:w="4230" w:type="dxa"/>
            <w:vMerge w:val="restart"/>
          </w:tcPr>
          <w:p w14:paraId="7EADF5F4" w14:textId="195E82B9" w:rsidR="008D5B86" w:rsidRDefault="008D5B86" w:rsidP="00BF44AF">
            <w:pPr>
              <w:rPr>
                <w:sz w:val="20"/>
                <w:szCs w:val="20"/>
              </w:rPr>
            </w:pPr>
            <w:r>
              <w:rPr>
                <w:sz w:val="20"/>
                <w:szCs w:val="20"/>
              </w:rPr>
              <w:t xml:space="preserve">Normal Troponin T level indicates a low risk for acute myocardial injury.  </w:t>
            </w:r>
            <w:r w:rsidR="00FE3591" w:rsidRPr="00EF0F45">
              <w:rPr>
                <w:i/>
                <w:iCs/>
                <w:sz w:val="20"/>
                <w:szCs w:val="20"/>
              </w:rPr>
              <w:t>Please see attached MGB ED and IP algorithm for testing guidance.</w:t>
            </w:r>
          </w:p>
          <w:p w14:paraId="72C18481" w14:textId="77777777" w:rsidR="008D5B86" w:rsidRPr="00054CC0" w:rsidRDefault="008D5B86" w:rsidP="00BF44AF">
            <w:pPr>
              <w:rPr>
                <w:sz w:val="16"/>
                <w:szCs w:val="16"/>
              </w:rPr>
            </w:pPr>
          </w:p>
          <w:p w14:paraId="0505343D" w14:textId="5FE6191E" w:rsidR="008D5B86" w:rsidRDefault="00FE3591" w:rsidP="00BF44AF">
            <w:pPr>
              <w:rPr>
                <w:sz w:val="20"/>
                <w:szCs w:val="20"/>
              </w:rPr>
            </w:pPr>
            <w:r w:rsidRPr="00EF0F45">
              <w:rPr>
                <w:i/>
                <w:iCs/>
                <w:sz w:val="20"/>
                <w:szCs w:val="20"/>
              </w:rPr>
              <w:t>Please see attached MGB ED and IP algorithm for testing guidance</w:t>
            </w:r>
            <w:r>
              <w:rPr>
                <w:sz w:val="20"/>
                <w:szCs w:val="20"/>
              </w:rPr>
              <w:t>.</w:t>
            </w:r>
            <w:r w:rsidR="008925E7">
              <w:rPr>
                <w:sz w:val="20"/>
                <w:szCs w:val="20"/>
              </w:rPr>
              <w:t xml:space="preserve"> </w:t>
            </w:r>
            <w:r w:rsidR="008D5B86">
              <w:rPr>
                <w:sz w:val="20"/>
                <w:szCs w:val="20"/>
              </w:rPr>
              <w:t>The positive predictive value for acute myocardial injury rises with increasing baseline and delta troponin values.</w:t>
            </w:r>
          </w:p>
          <w:p w14:paraId="33B1C6E0" w14:textId="77777777" w:rsidR="008D5B86" w:rsidRPr="00054CC0" w:rsidRDefault="008D5B86" w:rsidP="00BF44AF">
            <w:pPr>
              <w:rPr>
                <w:sz w:val="16"/>
                <w:szCs w:val="16"/>
              </w:rPr>
            </w:pPr>
          </w:p>
          <w:p w14:paraId="5D94AE2B" w14:textId="270D79A0" w:rsidR="008D5B86" w:rsidRDefault="008D5B86" w:rsidP="00BF44AF">
            <w:pPr>
              <w:rPr>
                <w:sz w:val="20"/>
                <w:szCs w:val="20"/>
              </w:rPr>
            </w:pPr>
            <w:r>
              <w:rPr>
                <w:sz w:val="20"/>
                <w:szCs w:val="20"/>
              </w:rPr>
              <w:t xml:space="preserve">Suggestive of acute myocardial injury (eg,acute MI, myocarditis, pulmonary embolism, acute heart failure).  To confirm acute myocardial injury, repeat </w:t>
            </w:r>
            <w:r w:rsidR="008925E7">
              <w:rPr>
                <w:sz w:val="20"/>
                <w:szCs w:val="20"/>
              </w:rPr>
              <w:t>according to testing algorithm</w:t>
            </w:r>
            <w:r>
              <w:rPr>
                <w:sz w:val="20"/>
                <w:szCs w:val="20"/>
              </w:rPr>
              <w:t xml:space="preserve"> and evaluate the delta value.</w:t>
            </w:r>
          </w:p>
          <w:p w14:paraId="1BB6232D" w14:textId="77777777" w:rsidR="008D5B86" w:rsidRDefault="008D5B86" w:rsidP="00BF44AF">
            <w:pPr>
              <w:rPr>
                <w:sz w:val="20"/>
                <w:szCs w:val="20"/>
              </w:rPr>
            </w:pPr>
          </w:p>
          <w:p w14:paraId="46275A7D" w14:textId="18224DB3" w:rsidR="008D5B86" w:rsidRPr="00B00157" w:rsidRDefault="00582219" w:rsidP="00582219">
            <w:pPr>
              <w:pStyle w:val="ListParagraph"/>
              <w:ind w:left="0"/>
              <w:rPr>
                <w:b/>
                <w:bCs/>
                <w:i/>
                <w:iCs/>
              </w:rPr>
            </w:pPr>
            <w:r w:rsidRPr="00B00157">
              <w:rPr>
                <w:b/>
                <w:bCs/>
                <w:i/>
                <w:iCs/>
                <w:highlight w:val="yellow"/>
              </w:rPr>
              <w:t>Interpretive guidelines are the same</w:t>
            </w:r>
            <w:r w:rsidR="008925E7">
              <w:rPr>
                <w:b/>
                <w:bCs/>
                <w:i/>
                <w:iCs/>
                <w:highlight w:val="yellow"/>
              </w:rPr>
              <w:t xml:space="preserve"> from the old and new assay.  </w:t>
            </w:r>
            <w:r w:rsidR="00EF0F45" w:rsidRPr="00EF0F45">
              <w:rPr>
                <w:b/>
                <w:bCs/>
                <w:i/>
                <w:iCs/>
                <w:highlight w:val="yellow"/>
                <w:u w:val="single"/>
              </w:rPr>
              <w:t>P</w:t>
            </w:r>
            <w:r w:rsidRPr="00EF0F45">
              <w:rPr>
                <w:b/>
                <w:bCs/>
                <w:i/>
                <w:iCs/>
                <w:highlight w:val="yellow"/>
                <w:u w:val="single"/>
              </w:rPr>
              <w:t>lease note the reference intervals have changed</w:t>
            </w:r>
            <w:r w:rsidR="008925E7">
              <w:rPr>
                <w:b/>
                <w:bCs/>
                <w:i/>
                <w:iCs/>
              </w:rPr>
              <w:t>.</w:t>
            </w:r>
          </w:p>
        </w:tc>
      </w:tr>
      <w:tr w:rsidR="008D5B86" w14:paraId="1EA97669" w14:textId="77777777" w:rsidTr="002E4E03">
        <w:tc>
          <w:tcPr>
            <w:tcW w:w="1345" w:type="dxa"/>
            <w:shd w:val="clear" w:color="auto" w:fill="auto"/>
          </w:tcPr>
          <w:p w14:paraId="0E717F95" w14:textId="77777777" w:rsidR="008D5B86" w:rsidRPr="008D5B86" w:rsidRDefault="008D5B86" w:rsidP="00BF44AF">
            <w:pPr>
              <w:tabs>
                <w:tab w:val="left" w:pos="1260"/>
              </w:tabs>
              <w:ind w:right="-108"/>
              <w:rPr>
                <w:b/>
                <w:bCs/>
                <w:sz w:val="20"/>
                <w:szCs w:val="20"/>
              </w:rPr>
            </w:pPr>
            <w:r w:rsidRPr="00582219">
              <w:rPr>
                <w:b/>
                <w:bCs/>
                <w:sz w:val="24"/>
                <w:szCs w:val="24"/>
              </w:rPr>
              <w:t>SIEMENS</w:t>
            </w:r>
            <w:r w:rsidRPr="008D5B86">
              <w:rPr>
                <w:b/>
                <w:bCs/>
                <w:sz w:val="20"/>
                <w:szCs w:val="20"/>
              </w:rPr>
              <w:t xml:space="preserve"> </w:t>
            </w:r>
          </w:p>
          <w:p w14:paraId="0B76FD1D" w14:textId="36037147" w:rsidR="008D5B86" w:rsidRPr="00582219" w:rsidRDefault="00582219" w:rsidP="00BF44AF">
            <w:pPr>
              <w:tabs>
                <w:tab w:val="left" w:pos="1260"/>
              </w:tabs>
              <w:ind w:right="-108"/>
              <w:rPr>
                <w:b/>
                <w:bCs/>
                <w:color w:val="FF0000"/>
                <w:sz w:val="20"/>
                <w:szCs w:val="20"/>
              </w:rPr>
            </w:pPr>
            <w:r w:rsidRPr="00582219">
              <w:rPr>
                <w:b/>
                <w:bCs/>
                <w:color w:val="FF0000"/>
                <w:sz w:val="20"/>
                <w:szCs w:val="20"/>
              </w:rPr>
              <w:t>Old method</w:t>
            </w:r>
          </w:p>
          <w:p w14:paraId="3D1D6E4F" w14:textId="77777777" w:rsidR="00582219" w:rsidRDefault="00582219" w:rsidP="00BF44AF">
            <w:pPr>
              <w:tabs>
                <w:tab w:val="left" w:pos="1260"/>
              </w:tabs>
              <w:ind w:right="-108"/>
              <w:rPr>
                <w:sz w:val="20"/>
                <w:szCs w:val="20"/>
              </w:rPr>
            </w:pPr>
          </w:p>
          <w:p w14:paraId="76F2F874" w14:textId="333821D7" w:rsidR="008D5B86" w:rsidRDefault="008D5B86" w:rsidP="00BF44AF">
            <w:pPr>
              <w:tabs>
                <w:tab w:val="left" w:pos="1260"/>
              </w:tabs>
              <w:ind w:right="-108"/>
              <w:rPr>
                <w:sz w:val="20"/>
                <w:szCs w:val="20"/>
              </w:rPr>
            </w:pPr>
            <w:r>
              <w:rPr>
                <w:sz w:val="20"/>
                <w:szCs w:val="20"/>
              </w:rPr>
              <w:t>High sensitive Troponin – I</w:t>
            </w:r>
          </w:p>
          <w:p w14:paraId="31B86B41" w14:textId="17E4DBF8" w:rsidR="008D5B86" w:rsidRDefault="008D5B86" w:rsidP="00BF44AF">
            <w:pPr>
              <w:tabs>
                <w:tab w:val="left" w:pos="1260"/>
              </w:tabs>
              <w:ind w:right="-108"/>
              <w:rPr>
                <w:sz w:val="20"/>
                <w:szCs w:val="20"/>
              </w:rPr>
            </w:pPr>
          </w:p>
        </w:tc>
        <w:tc>
          <w:tcPr>
            <w:tcW w:w="4590" w:type="dxa"/>
            <w:shd w:val="clear" w:color="auto" w:fill="auto"/>
          </w:tcPr>
          <w:p w14:paraId="530EBFBF" w14:textId="77777777" w:rsidR="008D5B86" w:rsidRPr="00CE4811" w:rsidRDefault="008D5B86" w:rsidP="008D5B86">
            <w:pPr>
              <w:rPr>
                <w:b/>
                <w:bCs/>
                <w:sz w:val="20"/>
                <w:szCs w:val="20"/>
              </w:rPr>
            </w:pPr>
            <w:r w:rsidRPr="00CE4811">
              <w:rPr>
                <w:b/>
                <w:bCs/>
                <w:sz w:val="20"/>
                <w:szCs w:val="20"/>
              </w:rPr>
              <w:t>Negative:</w:t>
            </w:r>
          </w:p>
          <w:p w14:paraId="34BB3A99" w14:textId="656D9ABA" w:rsidR="002E4E03" w:rsidRPr="003E6457" w:rsidRDefault="002E4E03" w:rsidP="002E4E03">
            <w:pPr>
              <w:rPr>
                <w:sz w:val="20"/>
                <w:szCs w:val="20"/>
              </w:rPr>
            </w:pPr>
            <w:r w:rsidRPr="003E6457">
              <w:rPr>
                <w:sz w:val="20"/>
                <w:szCs w:val="20"/>
              </w:rPr>
              <w:t>&lt;</w:t>
            </w:r>
            <w:r>
              <w:rPr>
                <w:sz w:val="20"/>
                <w:szCs w:val="20"/>
              </w:rPr>
              <w:t>0-</w:t>
            </w:r>
            <w:r>
              <w:rPr>
                <w:sz w:val="20"/>
                <w:szCs w:val="20"/>
              </w:rPr>
              <w:t>54</w:t>
            </w:r>
            <w:r>
              <w:rPr>
                <w:sz w:val="20"/>
                <w:szCs w:val="20"/>
              </w:rPr>
              <w:t xml:space="preserve"> </w:t>
            </w:r>
            <w:r w:rsidRPr="003E6457">
              <w:rPr>
                <w:sz w:val="20"/>
                <w:szCs w:val="20"/>
              </w:rPr>
              <w:t>ng/L Negative (Females)</w:t>
            </w:r>
          </w:p>
          <w:p w14:paraId="0DC3DF58" w14:textId="16EFB431" w:rsidR="002E4E03" w:rsidRPr="003E6457" w:rsidRDefault="002E4E03" w:rsidP="002E4E03">
            <w:pPr>
              <w:rPr>
                <w:sz w:val="20"/>
                <w:szCs w:val="20"/>
              </w:rPr>
            </w:pPr>
            <w:r w:rsidRPr="003E6457">
              <w:rPr>
                <w:sz w:val="20"/>
                <w:szCs w:val="20"/>
              </w:rPr>
              <w:t>&lt;</w:t>
            </w:r>
            <w:r>
              <w:rPr>
                <w:sz w:val="20"/>
                <w:szCs w:val="20"/>
              </w:rPr>
              <w:t>0-</w:t>
            </w:r>
            <w:r>
              <w:rPr>
                <w:sz w:val="20"/>
                <w:szCs w:val="20"/>
              </w:rPr>
              <w:t>78</w:t>
            </w:r>
            <w:r w:rsidRPr="003E6457">
              <w:rPr>
                <w:sz w:val="20"/>
                <w:szCs w:val="20"/>
              </w:rPr>
              <w:t xml:space="preserve"> ng/L Negative (Males)</w:t>
            </w:r>
          </w:p>
          <w:p w14:paraId="3ED28ACA" w14:textId="77777777" w:rsidR="008D5B86" w:rsidRPr="003E6457" w:rsidRDefault="008D5B86" w:rsidP="008D5B86">
            <w:pPr>
              <w:rPr>
                <w:sz w:val="20"/>
                <w:szCs w:val="20"/>
              </w:rPr>
            </w:pPr>
          </w:p>
          <w:p w14:paraId="2E234605" w14:textId="08C46314" w:rsidR="008D5B86" w:rsidRPr="00CE4811" w:rsidRDefault="008D5B86" w:rsidP="008D5B86">
            <w:pPr>
              <w:rPr>
                <w:b/>
                <w:bCs/>
                <w:sz w:val="20"/>
                <w:szCs w:val="20"/>
              </w:rPr>
            </w:pPr>
            <w:r w:rsidRPr="00CE4811">
              <w:rPr>
                <w:b/>
                <w:bCs/>
                <w:sz w:val="20"/>
                <w:szCs w:val="20"/>
              </w:rPr>
              <w:t>Grey zone</w:t>
            </w:r>
            <w:r w:rsidR="00CE4811">
              <w:rPr>
                <w:b/>
                <w:bCs/>
                <w:sz w:val="20"/>
                <w:szCs w:val="20"/>
              </w:rPr>
              <w:t>:</w:t>
            </w:r>
          </w:p>
          <w:p w14:paraId="6ECB50A1" w14:textId="37B51918" w:rsidR="008D5B86" w:rsidRPr="003E6457" w:rsidRDefault="001D2E35" w:rsidP="008D5B86">
            <w:pPr>
              <w:rPr>
                <w:sz w:val="20"/>
                <w:szCs w:val="20"/>
              </w:rPr>
            </w:pPr>
            <w:r>
              <w:rPr>
                <w:sz w:val="20"/>
                <w:szCs w:val="20"/>
              </w:rPr>
              <w:t>Delta increase of 5 to 7 ng/L from baseline</w:t>
            </w:r>
          </w:p>
          <w:p w14:paraId="5F33ECC9" w14:textId="77777777" w:rsidR="008D5B86" w:rsidRPr="003E6457" w:rsidRDefault="008D5B86" w:rsidP="008D5B86">
            <w:pPr>
              <w:rPr>
                <w:sz w:val="20"/>
                <w:szCs w:val="20"/>
              </w:rPr>
            </w:pPr>
          </w:p>
          <w:p w14:paraId="660FC0B2" w14:textId="7119A4A5" w:rsidR="008D5B86" w:rsidRPr="00CE4811" w:rsidRDefault="008D5B86" w:rsidP="008D5B86">
            <w:pPr>
              <w:rPr>
                <w:b/>
                <w:bCs/>
                <w:sz w:val="20"/>
                <w:szCs w:val="20"/>
              </w:rPr>
            </w:pPr>
            <w:r w:rsidRPr="00CE4811">
              <w:rPr>
                <w:b/>
                <w:bCs/>
                <w:sz w:val="20"/>
                <w:szCs w:val="20"/>
              </w:rPr>
              <w:t>Critical</w:t>
            </w:r>
            <w:r w:rsidR="00CE4811">
              <w:rPr>
                <w:b/>
                <w:bCs/>
                <w:sz w:val="20"/>
                <w:szCs w:val="20"/>
              </w:rPr>
              <w:t>:</w:t>
            </w:r>
          </w:p>
          <w:p w14:paraId="0AF77A5A" w14:textId="11391463" w:rsidR="008D5B86" w:rsidRPr="003E6457" w:rsidRDefault="001D2E35" w:rsidP="008D5B86">
            <w:pPr>
              <w:rPr>
                <w:sz w:val="20"/>
                <w:szCs w:val="20"/>
              </w:rPr>
            </w:pPr>
            <w:r>
              <w:rPr>
                <w:sz w:val="20"/>
                <w:szCs w:val="20"/>
              </w:rPr>
              <w:t xml:space="preserve">&gt;120 </w:t>
            </w:r>
            <w:r w:rsidR="008D5B86" w:rsidRPr="003E6457">
              <w:rPr>
                <w:sz w:val="20"/>
                <w:szCs w:val="20"/>
              </w:rPr>
              <w:t xml:space="preserve"> ng/L and above</w:t>
            </w:r>
          </w:p>
        </w:tc>
        <w:tc>
          <w:tcPr>
            <w:tcW w:w="4230" w:type="dxa"/>
            <w:vMerge/>
          </w:tcPr>
          <w:p w14:paraId="2F6DB445" w14:textId="77777777" w:rsidR="008D5B86" w:rsidRDefault="008D5B86" w:rsidP="00BF44AF">
            <w:pPr>
              <w:rPr>
                <w:sz w:val="20"/>
                <w:szCs w:val="20"/>
              </w:rPr>
            </w:pPr>
          </w:p>
        </w:tc>
      </w:tr>
    </w:tbl>
    <w:p w14:paraId="6D4D3C32" w14:textId="77777777" w:rsidR="003E6457" w:rsidRPr="008004CC" w:rsidRDefault="003E6457" w:rsidP="003E6457">
      <w:pPr>
        <w:rPr>
          <w:sz w:val="16"/>
          <w:szCs w:val="16"/>
        </w:rPr>
      </w:pPr>
    </w:p>
    <w:p w14:paraId="3221F6CE" w14:textId="4D38B22B" w:rsidR="007D044C" w:rsidRDefault="007D044C" w:rsidP="007D044C">
      <w:r>
        <w:t xml:space="preserve">Please see attached MGB Enterprise best practice algorithms/guidance for ED and Inpatient setting for interpreting hsTroponin T.   </w:t>
      </w:r>
    </w:p>
    <w:p w14:paraId="5C0613D4" w14:textId="77777777" w:rsidR="007D044C" w:rsidRDefault="007D044C" w:rsidP="007D044C">
      <w:pPr>
        <w:rPr>
          <w:rFonts w:ascii="Century Gothic" w:hAnsi="Century Gothic"/>
          <w:sz w:val="20"/>
          <w:szCs w:val="20"/>
        </w:rPr>
      </w:pPr>
    </w:p>
    <w:p w14:paraId="3CA15160" w14:textId="14FE6E4F" w:rsidR="00E70174" w:rsidRDefault="00E70174" w:rsidP="00E70174">
      <w:r w:rsidRPr="00793B4A">
        <w:t xml:space="preserve">For </w:t>
      </w:r>
      <w:r w:rsidRPr="002933AC">
        <w:t xml:space="preserve">more laboratory </w:t>
      </w:r>
      <w:r w:rsidRPr="00793B4A">
        <w:t>information please contact</w:t>
      </w:r>
      <w:r>
        <w:t>:</w:t>
      </w:r>
    </w:p>
    <w:p w14:paraId="5E1230AD" w14:textId="50FAF4EF" w:rsidR="006D5858" w:rsidRDefault="00E70174" w:rsidP="006D5858">
      <w:pPr>
        <w:pStyle w:val="ListParagraph"/>
        <w:numPr>
          <w:ilvl w:val="0"/>
          <w:numId w:val="8"/>
        </w:numPr>
      </w:pPr>
      <w:r w:rsidRPr="00793B4A">
        <w:t>Holly Lapierre</w:t>
      </w:r>
      <w:r>
        <w:t xml:space="preserve">, MT, Clinical Laboratory Supervisor, </w:t>
      </w:r>
      <w:r w:rsidRPr="002933AC">
        <w:t xml:space="preserve"> </w:t>
      </w:r>
      <w:hyperlink r:id="rId11" w:history="1">
        <w:r w:rsidRPr="006D5858">
          <w:rPr>
            <w:u w:val="single"/>
          </w:rPr>
          <w:t>Holly.Lapierre@wdhospital.org</w:t>
        </w:r>
      </w:hyperlink>
      <w:r w:rsidRPr="00793B4A">
        <w:t xml:space="preserve"> </w:t>
      </w:r>
      <w:r w:rsidRPr="002933AC">
        <w:t>or</w:t>
      </w:r>
      <w:r w:rsidRPr="00793B4A">
        <w:t xml:space="preserve"> at 603740</w:t>
      </w:r>
      <w:r>
        <w:t xml:space="preserve"> </w:t>
      </w:r>
      <w:r w:rsidRPr="00793B4A">
        <w:t>3296</w:t>
      </w:r>
    </w:p>
    <w:p w14:paraId="1F2BBD05" w14:textId="7ABC8C72" w:rsidR="00E70174" w:rsidRPr="00793B4A" w:rsidRDefault="00E70174" w:rsidP="006D5858">
      <w:pPr>
        <w:pStyle w:val="ListParagraph"/>
        <w:numPr>
          <w:ilvl w:val="0"/>
          <w:numId w:val="8"/>
        </w:numPr>
      </w:pPr>
      <w:r>
        <w:t xml:space="preserve">Vasu Maganti, PhD, Laboratory Director, </w:t>
      </w:r>
      <w:r w:rsidRPr="006D5858">
        <w:rPr>
          <w:u w:val="single"/>
        </w:rPr>
        <w:t>Srinivas.Maganti@wdhospital.org</w:t>
      </w:r>
      <w:r>
        <w:t xml:space="preserve"> or 603 740 2552</w:t>
      </w:r>
    </w:p>
    <w:p w14:paraId="7033816E" w14:textId="77777777" w:rsidR="007D044C" w:rsidRDefault="007D044C" w:rsidP="007D044C">
      <w:pPr>
        <w:rPr>
          <w:rFonts w:ascii="Century Gothic" w:hAnsi="Century Gothic"/>
          <w:sz w:val="20"/>
          <w:szCs w:val="20"/>
        </w:rPr>
      </w:pPr>
    </w:p>
    <w:p w14:paraId="1D5BB96A" w14:textId="77777777" w:rsidR="007D044C" w:rsidRDefault="007D044C" w:rsidP="007D044C">
      <w:pPr>
        <w:rPr>
          <w:rFonts w:ascii="Century Gothic" w:hAnsi="Century Gothic"/>
          <w:sz w:val="20"/>
          <w:szCs w:val="20"/>
        </w:rPr>
      </w:pPr>
    </w:p>
    <w:p w14:paraId="62E4E249" w14:textId="106FCDD5" w:rsidR="007D044C" w:rsidRDefault="007D044C" w:rsidP="007D044C">
      <w:pPr>
        <w:rPr>
          <w:rFonts w:ascii="Century Gothic" w:hAnsi="Century Gothic"/>
          <w:sz w:val="20"/>
          <w:szCs w:val="20"/>
        </w:rPr>
      </w:pPr>
      <w:r>
        <w:rPr>
          <w:rFonts w:ascii="Century Gothic" w:hAnsi="Century Gothic"/>
          <w:noProof/>
          <w:sz w:val="20"/>
          <w:szCs w:val="20"/>
        </w:rPr>
        <w:drawing>
          <wp:inline distT="0" distB="0" distL="0" distR="0" wp14:anchorId="1BEEC5AB" wp14:editId="74EBAD99">
            <wp:extent cx="312420" cy="45720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12420" cy="457200"/>
                    </a:xfrm>
                    <a:prstGeom prst="rect">
                      <a:avLst/>
                    </a:prstGeom>
                    <a:noFill/>
                    <a:ln>
                      <a:noFill/>
                    </a:ln>
                  </pic:spPr>
                </pic:pic>
              </a:graphicData>
            </a:graphic>
          </wp:inline>
        </w:drawing>
      </w:r>
    </w:p>
    <w:p w14:paraId="1E3F005E" w14:textId="77777777" w:rsidR="00A37D77" w:rsidRPr="0002474D" w:rsidRDefault="00A37D77" w:rsidP="007D044C">
      <w:pPr>
        <w:rPr>
          <w:lang w:bidi="en-US"/>
        </w:rPr>
      </w:pPr>
    </w:p>
    <w:sectPr w:rsidR="00A37D77" w:rsidRPr="0002474D" w:rsidSect="00B64C7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9371" w14:textId="77777777" w:rsidR="00736119" w:rsidRPr="00801A8E" w:rsidRDefault="00736119" w:rsidP="00E217A0">
      <w:r w:rsidRPr="00801A8E">
        <w:separator/>
      </w:r>
    </w:p>
  </w:endnote>
  <w:endnote w:type="continuationSeparator" w:id="0">
    <w:p w14:paraId="0A49274D" w14:textId="77777777" w:rsidR="00736119" w:rsidRPr="00801A8E" w:rsidRDefault="00736119" w:rsidP="00E217A0">
      <w:r w:rsidRPr="00801A8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Light">
    <w:altName w:val="Roboto Slab Light"/>
    <w:charset w:val="00"/>
    <w:family w:val="auto"/>
    <w:pitch w:val="variable"/>
    <w:sig w:usb0="000004FF" w:usb1="8000405F" w:usb2="00000022" w:usb3="00000000" w:csb0="0000019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C806" w14:textId="77777777" w:rsidR="00736119" w:rsidRPr="00801A8E" w:rsidRDefault="00736119" w:rsidP="00E217A0">
      <w:r w:rsidRPr="00801A8E">
        <w:separator/>
      </w:r>
    </w:p>
  </w:footnote>
  <w:footnote w:type="continuationSeparator" w:id="0">
    <w:p w14:paraId="64CEC023" w14:textId="77777777" w:rsidR="00736119" w:rsidRPr="00801A8E" w:rsidRDefault="00736119" w:rsidP="00E217A0">
      <w:r w:rsidRPr="00801A8E">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F77BA"/>
    <w:multiLevelType w:val="hybridMultilevel"/>
    <w:tmpl w:val="D8A0FEF2"/>
    <w:lvl w:ilvl="0" w:tplc="0409000F">
      <w:start w:val="1"/>
      <w:numFmt w:val="decimal"/>
      <w:lvlText w:val="%1."/>
      <w:lvlJc w:val="left"/>
      <w:pPr>
        <w:ind w:left="594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15:restartNumberingAfterBreak="0">
    <w:nsid w:val="0E271CEA"/>
    <w:multiLevelType w:val="hybridMultilevel"/>
    <w:tmpl w:val="DBE223DA"/>
    <w:lvl w:ilvl="0" w:tplc="FC82D16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39831ECC"/>
    <w:multiLevelType w:val="hybridMultilevel"/>
    <w:tmpl w:val="57526036"/>
    <w:lvl w:ilvl="0" w:tplc="2B00FA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F0DA0"/>
    <w:multiLevelType w:val="hybridMultilevel"/>
    <w:tmpl w:val="CA7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1399B"/>
    <w:multiLevelType w:val="hybridMultilevel"/>
    <w:tmpl w:val="66648D14"/>
    <w:lvl w:ilvl="0" w:tplc="CC16233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BE742E"/>
    <w:multiLevelType w:val="hybridMultilevel"/>
    <w:tmpl w:val="80884232"/>
    <w:lvl w:ilvl="0" w:tplc="D8C69E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C1B7A"/>
    <w:multiLevelType w:val="hybridMultilevel"/>
    <w:tmpl w:val="B3EA9E00"/>
    <w:lvl w:ilvl="0" w:tplc="F10865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65115875">
    <w:abstractNumId w:val="0"/>
  </w:num>
  <w:num w:numId="2" w16cid:durableId="421875649">
    <w:abstractNumId w:val="1"/>
  </w:num>
  <w:num w:numId="3" w16cid:durableId="477184476">
    <w:abstractNumId w:val="6"/>
  </w:num>
  <w:num w:numId="4" w16cid:durableId="1863785439">
    <w:abstractNumId w:val="4"/>
  </w:num>
  <w:num w:numId="5" w16cid:durableId="1260333731">
    <w:abstractNumId w:val="5"/>
  </w:num>
  <w:num w:numId="6" w16cid:durableId="48959470">
    <w:abstractNumId w:val="2"/>
  </w:num>
  <w:num w:numId="7" w16cid:durableId="108817710">
    <w:abstractNumId w:val="2"/>
  </w:num>
  <w:num w:numId="8" w16cid:durableId="20413918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4D"/>
    <w:rsid w:val="00005D46"/>
    <w:rsid w:val="00016AA4"/>
    <w:rsid w:val="0002474D"/>
    <w:rsid w:val="00046BAD"/>
    <w:rsid w:val="000541CC"/>
    <w:rsid w:val="00055251"/>
    <w:rsid w:val="00060BB4"/>
    <w:rsid w:val="0008162B"/>
    <w:rsid w:val="00093445"/>
    <w:rsid w:val="00094395"/>
    <w:rsid w:val="000A55DF"/>
    <w:rsid w:val="000B63DD"/>
    <w:rsid w:val="000E21E4"/>
    <w:rsid w:val="000E3E9F"/>
    <w:rsid w:val="000F43CE"/>
    <w:rsid w:val="0010276C"/>
    <w:rsid w:val="00112543"/>
    <w:rsid w:val="001140D2"/>
    <w:rsid w:val="001422A2"/>
    <w:rsid w:val="001511EB"/>
    <w:rsid w:val="00152A98"/>
    <w:rsid w:val="00154AC0"/>
    <w:rsid w:val="00160017"/>
    <w:rsid w:val="00160B8B"/>
    <w:rsid w:val="001646A8"/>
    <w:rsid w:val="00167CF7"/>
    <w:rsid w:val="00167F3F"/>
    <w:rsid w:val="001A7D82"/>
    <w:rsid w:val="001C11E3"/>
    <w:rsid w:val="001C1AB9"/>
    <w:rsid w:val="001C5BD4"/>
    <w:rsid w:val="001D2E35"/>
    <w:rsid w:val="002156C3"/>
    <w:rsid w:val="0023578F"/>
    <w:rsid w:val="00242092"/>
    <w:rsid w:val="00251483"/>
    <w:rsid w:val="00267B43"/>
    <w:rsid w:val="00272A54"/>
    <w:rsid w:val="0028163A"/>
    <w:rsid w:val="002A38A0"/>
    <w:rsid w:val="002D1A10"/>
    <w:rsid w:val="002D4010"/>
    <w:rsid w:val="002E2BE1"/>
    <w:rsid w:val="002E4E03"/>
    <w:rsid w:val="002E5212"/>
    <w:rsid w:val="002F6E42"/>
    <w:rsid w:val="002F70BC"/>
    <w:rsid w:val="0031368C"/>
    <w:rsid w:val="003207D2"/>
    <w:rsid w:val="0033064D"/>
    <w:rsid w:val="00334A59"/>
    <w:rsid w:val="00374031"/>
    <w:rsid w:val="003B08ED"/>
    <w:rsid w:val="003E6457"/>
    <w:rsid w:val="003F2C1B"/>
    <w:rsid w:val="00410E38"/>
    <w:rsid w:val="00413092"/>
    <w:rsid w:val="00416F50"/>
    <w:rsid w:val="004174CF"/>
    <w:rsid w:val="00437D65"/>
    <w:rsid w:val="00445EC1"/>
    <w:rsid w:val="0044684D"/>
    <w:rsid w:val="00446C79"/>
    <w:rsid w:val="00454643"/>
    <w:rsid w:val="00457FFB"/>
    <w:rsid w:val="0046611B"/>
    <w:rsid w:val="00480A60"/>
    <w:rsid w:val="004871B1"/>
    <w:rsid w:val="004A5476"/>
    <w:rsid w:val="004A5F2F"/>
    <w:rsid w:val="004E358C"/>
    <w:rsid w:val="004F678C"/>
    <w:rsid w:val="00521F22"/>
    <w:rsid w:val="00524D8E"/>
    <w:rsid w:val="00525236"/>
    <w:rsid w:val="00533001"/>
    <w:rsid w:val="00550E8A"/>
    <w:rsid w:val="00553157"/>
    <w:rsid w:val="005610D1"/>
    <w:rsid w:val="00572C43"/>
    <w:rsid w:val="00582219"/>
    <w:rsid w:val="005C5840"/>
    <w:rsid w:val="005D4C2C"/>
    <w:rsid w:val="005E23D3"/>
    <w:rsid w:val="005E5F11"/>
    <w:rsid w:val="005E729F"/>
    <w:rsid w:val="00615E48"/>
    <w:rsid w:val="006520F0"/>
    <w:rsid w:val="006640BC"/>
    <w:rsid w:val="006664A5"/>
    <w:rsid w:val="00667DB4"/>
    <w:rsid w:val="00687D0F"/>
    <w:rsid w:val="00695C55"/>
    <w:rsid w:val="006D5858"/>
    <w:rsid w:val="006F7FAE"/>
    <w:rsid w:val="00711B85"/>
    <w:rsid w:val="00721791"/>
    <w:rsid w:val="00721CDA"/>
    <w:rsid w:val="00735D35"/>
    <w:rsid w:val="00736119"/>
    <w:rsid w:val="00740560"/>
    <w:rsid w:val="00742336"/>
    <w:rsid w:val="007446E3"/>
    <w:rsid w:val="007503C0"/>
    <w:rsid w:val="00752700"/>
    <w:rsid w:val="0075511C"/>
    <w:rsid w:val="0076579F"/>
    <w:rsid w:val="007772BC"/>
    <w:rsid w:val="0079495E"/>
    <w:rsid w:val="0079779F"/>
    <w:rsid w:val="007A1F08"/>
    <w:rsid w:val="007A6134"/>
    <w:rsid w:val="007B3D5C"/>
    <w:rsid w:val="007C0C80"/>
    <w:rsid w:val="007D044C"/>
    <w:rsid w:val="007D0A4D"/>
    <w:rsid w:val="007E4F1D"/>
    <w:rsid w:val="00801A8E"/>
    <w:rsid w:val="00803763"/>
    <w:rsid w:val="00813AC5"/>
    <w:rsid w:val="00815F6F"/>
    <w:rsid w:val="008168A6"/>
    <w:rsid w:val="00832F49"/>
    <w:rsid w:val="0084104C"/>
    <w:rsid w:val="00867A43"/>
    <w:rsid w:val="00881D01"/>
    <w:rsid w:val="008827E9"/>
    <w:rsid w:val="00883592"/>
    <w:rsid w:val="00887597"/>
    <w:rsid w:val="008925E7"/>
    <w:rsid w:val="008A249C"/>
    <w:rsid w:val="008B22A7"/>
    <w:rsid w:val="008C4082"/>
    <w:rsid w:val="008C47E7"/>
    <w:rsid w:val="008D5B86"/>
    <w:rsid w:val="008D6A78"/>
    <w:rsid w:val="008E16D0"/>
    <w:rsid w:val="008F2723"/>
    <w:rsid w:val="008F4448"/>
    <w:rsid w:val="009619A9"/>
    <w:rsid w:val="00961CCD"/>
    <w:rsid w:val="00970706"/>
    <w:rsid w:val="00982E4B"/>
    <w:rsid w:val="00991F60"/>
    <w:rsid w:val="009B04E1"/>
    <w:rsid w:val="009B38C5"/>
    <w:rsid w:val="009B557A"/>
    <w:rsid w:val="009C0376"/>
    <w:rsid w:val="009D33F8"/>
    <w:rsid w:val="009E7B51"/>
    <w:rsid w:val="009F3017"/>
    <w:rsid w:val="009F6D17"/>
    <w:rsid w:val="00A15C83"/>
    <w:rsid w:val="00A22439"/>
    <w:rsid w:val="00A3410D"/>
    <w:rsid w:val="00A34766"/>
    <w:rsid w:val="00A37D77"/>
    <w:rsid w:val="00A7758B"/>
    <w:rsid w:val="00A82A79"/>
    <w:rsid w:val="00A93C10"/>
    <w:rsid w:val="00AA7276"/>
    <w:rsid w:val="00AC09FD"/>
    <w:rsid w:val="00AC1D88"/>
    <w:rsid w:val="00B00157"/>
    <w:rsid w:val="00B1046C"/>
    <w:rsid w:val="00B235A9"/>
    <w:rsid w:val="00B323FB"/>
    <w:rsid w:val="00B47BA0"/>
    <w:rsid w:val="00B64C76"/>
    <w:rsid w:val="00B81E8C"/>
    <w:rsid w:val="00B85208"/>
    <w:rsid w:val="00B97E53"/>
    <w:rsid w:val="00BC0E77"/>
    <w:rsid w:val="00BF624D"/>
    <w:rsid w:val="00C04083"/>
    <w:rsid w:val="00C1534A"/>
    <w:rsid w:val="00C301B0"/>
    <w:rsid w:val="00C5458E"/>
    <w:rsid w:val="00C57246"/>
    <w:rsid w:val="00C63D2A"/>
    <w:rsid w:val="00C65506"/>
    <w:rsid w:val="00C70717"/>
    <w:rsid w:val="00C707C4"/>
    <w:rsid w:val="00C76E6C"/>
    <w:rsid w:val="00CA5E29"/>
    <w:rsid w:val="00CA7333"/>
    <w:rsid w:val="00CB7743"/>
    <w:rsid w:val="00CC0354"/>
    <w:rsid w:val="00CC25B6"/>
    <w:rsid w:val="00CD090E"/>
    <w:rsid w:val="00CD3BCD"/>
    <w:rsid w:val="00CD42E6"/>
    <w:rsid w:val="00CE2B1F"/>
    <w:rsid w:val="00CE4811"/>
    <w:rsid w:val="00CF10A9"/>
    <w:rsid w:val="00CF5586"/>
    <w:rsid w:val="00D00564"/>
    <w:rsid w:val="00D04D22"/>
    <w:rsid w:val="00D13B9D"/>
    <w:rsid w:val="00D15B28"/>
    <w:rsid w:val="00D174BA"/>
    <w:rsid w:val="00D4335C"/>
    <w:rsid w:val="00D43413"/>
    <w:rsid w:val="00D61A5C"/>
    <w:rsid w:val="00D653A6"/>
    <w:rsid w:val="00D7174F"/>
    <w:rsid w:val="00D77E26"/>
    <w:rsid w:val="00D8034F"/>
    <w:rsid w:val="00DB24F2"/>
    <w:rsid w:val="00DB5B1D"/>
    <w:rsid w:val="00DB5E83"/>
    <w:rsid w:val="00DC71DC"/>
    <w:rsid w:val="00E00568"/>
    <w:rsid w:val="00E217A0"/>
    <w:rsid w:val="00E36447"/>
    <w:rsid w:val="00E45157"/>
    <w:rsid w:val="00E63A25"/>
    <w:rsid w:val="00E66514"/>
    <w:rsid w:val="00E70174"/>
    <w:rsid w:val="00E936F9"/>
    <w:rsid w:val="00EA7C2B"/>
    <w:rsid w:val="00EB5C62"/>
    <w:rsid w:val="00EB6291"/>
    <w:rsid w:val="00EB7A30"/>
    <w:rsid w:val="00EC38EC"/>
    <w:rsid w:val="00ED067A"/>
    <w:rsid w:val="00EE2D52"/>
    <w:rsid w:val="00EF0020"/>
    <w:rsid w:val="00EF0F45"/>
    <w:rsid w:val="00F02C1C"/>
    <w:rsid w:val="00F07EDC"/>
    <w:rsid w:val="00F208E2"/>
    <w:rsid w:val="00F221E2"/>
    <w:rsid w:val="00F32EE6"/>
    <w:rsid w:val="00F3321C"/>
    <w:rsid w:val="00F55DED"/>
    <w:rsid w:val="00F673D4"/>
    <w:rsid w:val="00F73A6E"/>
    <w:rsid w:val="00F90AC4"/>
    <w:rsid w:val="00F9574E"/>
    <w:rsid w:val="00FB5DAD"/>
    <w:rsid w:val="00FC61CD"/>
    <w:rsid w:val="00FC7612"/>
    <w:rsid w:val="00FD7A29"/>
    <w:rsid w:val="00FE3591"/>
    <w:rsid w:val="00FE780F"/>
    <w:rsid w:val="00FF39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400ED"/>
  <w15:chartTrackingRefBased/>
  <w15:docId w15:val="{8B31A400-7310-47B7-BD64-F593DD208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A78"/>
    <w:pPr>
      <w:tabs>
        <w:tab w:val="center" w:pos="4680"/>
        <w:tab w:val="right" w:pos="9360"/>
      </w:tabs>
    </w:pPr>
  </w:style>
  <w:style w:type="character" w:customStyle="1" w:styleId="HeaderChar">
    <w:name w:val="Header Char"/>
    <w:basedOn w:val="DefaultParagraphFont"/>
    <w:link w:val="Header"/>
    <w:uiPriority w:val="99"/>
    <w:rsid w:val="008D6A78"/>
  </w:style>
  <w:style w:type="paragraph" w:styleId="Footer">
    <w:name w:val="footer"/>
    <w:basedOn w:val="Normal"/>
    <w:link w:val="FooterChar"/>
    <w:uiPriority w:val="99"/>
    <w:unhideWhenUsed/>
    <w:rsid w:val="008D6A78"/>
    <w:pPr>
      <w:tabs>
        <w:tab w:val="center" w:pos="4680"/>
        <w:tab w:val="right" w:pos="9360"/>
      </w:tabs>
    </w:pPr>
  </w:style>
  <w:style w:type="character" w:customStyle="1" w:styleId="FooterChar">
    <w:name w:val="Footer Char"/>
    <w:basedOn w:val="DefaultParagraphFont"/>
    <w:link w:val="Footer"/>
    <w:uiPriority w:val="99"/>
    <w:rsid w:val="008D6A78"/>
  </w:style>
  <w:style w:type="paragraph" w:customStyle="1" w:styleId="Bodytext">
    <w:name w:val="Body_text"/>
    <w:basedOn w:val="Normal"/>
    <w:next w:val="Normal"/>
    <w:qFormat/>
    <w:rsid w:val="00446C79"/>
    <w:pPr>
      <w:snapToGrid w:val="0"/>
      <w:spacing w:after="220"/>
    </w:pPr>
    <w:rPr>
      <w:rFonts w:eastAsia="Times New Roman"/>
      <w:sz w:val="20"/>
    </w:rPr>
  </w:style>
  <w:style w:type="paragraph" w:customStyle="1" w:styleId="Company">
    <w:name w:val="Company"/>
    <w:basedOn w:val="Normal"/>
    <w:next w:val="Normal"/>
    <w:rsid w:val="00E217A0"/>
    <w:pPr>
      <w:spacing w:after="40"/>
    </w:pPr>
    <w:rPr>
      <w:rFonts w:ascii="Calibri" w:eastAsia="Times New Roman" w:hAnsi="Calibri" w:cs="Times New Roman"/>
      <w:szCs w:val="20"/>
    </w:rPr>
  </w:style>
  <w:style w:type="paragraph" w:customStyle="1" w:styleId="TitleAddressWebInfo">
    <w:name w:val="Title_Address_Web_Info"/>
    <w:uiPriority w:val="99"/>
    <w:qFormat/>
    <w:rsid w:val="00CA5E29"/>
    <w:pPr>
      <w:autoSpaceDE w:val="0"/>
      <w:autoSpaceDN w:val="0"/>
      <w:adjustRightInd w:val="0"/>
      <w:snapToGrid w:val="0"/>
      <w:spacing w:line="192" w:lineRule="atLeast"/>
      <w:ind w:left="6930"/>
      <w:textAlignment w:val="center"/>
    </w:pPr>
    <w:rPr>
      <w:color w:val="000000"/>
      <w:kern w:val="12"/>
      <w:sz w:val="16"/>
      <w:szCs w:val="16"/>
    </w:rPr>
  </w:style>
  <w:style w:type="paragraph" w:customStyle="1" w:styleId="NameDegree">
    <w:name w:val="Name_Degree"/>
    <w:qFormat/>
    <w:rsid w:val="00413092"/>
    <w:pPr>
      <w:spacing w:line="260" w:lineRule="atLeast"/>
      <w:ind w:left="6930" w:right="-360"/>
    </w:pPr>
    <w:rPr>
      <w:rFonts w:ascii="Roboto Slab Light" w:hAnsi="Roboto Slab Light"/>
      <w:noProof/>
      <w:color w:val="000000"/>
    </w:rPr>
  </w:style>
  <w:style w:type="paragraph" w:styleId="BodyText0">
    <w:name w:val="Body Text"/>
    <w:basedOn w:val="Normal"/>
    <w:link w:val="BodyTextChar"/>
    <w:uiPriority w:val="1"/>
    <w:qFormat/>
    <w:rsid w:val="001C5BD4"/>
    <w:pPr>
      <w:widowControl w:val="0"/>
      <w:autoSpaceDE w:val="0"/>
      <w:autoSpaceDN w:val="0"/>
    </w:pPr>
    <w:rPr>
      <w:rFonts w:ascii="Arial" w:eastAsia="Arial" w:hAnsi="Arial"/>
      <w:lang w:bidi="en-US"/>
    </w:rPr>
  </w:style>
  <w:style w:type="character" w:customStyle="1" w:styleId="BodyTextChar">
    <w:name w:val="Body Text Char"/>
    <w:basedOn w:val="DefaultParagraphFont"/>
    <w:link w:val="BodyText0"/>
    <w:uiPriority w:val="1"/>
    <w:rsid w:val="001C5BD4"/>
    <w:rPr>
      <w:rFonts w:ascii="Arial" w:eastAsia="Arial" w:hAnsi="Arial"/>
      <w:lang w:bidi="en-US"/>
    </w:rPr>
  </w:style>
  <w:style w:type="paragraph" w:customStyle="1" w:styleId="TableParagraph">
    <w:name w:val="Table Paragraph"/>
    <w:basedOn w:val="Normal"/>
    <w:uiPriority w:val="1"/>
    <w:qFormat/>
    <w:rsid w:val="001C5BD4"/>
    <w:pPr>
      <w:widowControl w:val="0"/>
      <w:autoSpaceDE w:val="0"/>
      <w:autoSpaceDN w:val="0"/>
      <w:ind w:left="35"/>
    </w:pPr>
    <w:rPr>
      <w:rFonts w:ascii="Arial" w:eastAsia="Arial" w:hAnsi="Arial"/>
      <w:lang w:bidi="en-US"/>
    </w:rPr>
  </w:style>
  <w:style w:type="character" w:styleId="PageNumber">
    <w:name w:val="page number"/>
    <w:basedOn w:val="DefaultParagraphFont"/>
    <w:uiPriority w:val="99"/>
    <w:semiHidden/>
    <w:unhideWhenUsed/>
    <w:rsid w:val="00EC38EC"/>
  </w:style>
  <w:style w:type="paragraph" w:styleId="BalloonText">
    <w:name w:val="Balloon Text"/>
    <w:basedOn w:val="Normal"/>
    <w:link w:val="BalloonTextChar"/>
    <w:uiPriority w:val="99"/>
    <w:semiHidden/>
    <w:unhideWhenUsed/>
    <w:rsid w:val="00CD09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090E"/>
    <w:rPr>
      <w:rFonts w:ascii="Times New Roman" w:hAnsi="Times New Roman" w:cs="Times New Roman"/>
      <w:sz w:val="18"/>
      <w:szCs w:val="18"/>
    </w:rPr>
  </w:style>
  <w:style w:type="paragraph" w:customStyle="1" w:styleId="BasicParagraph">
    <w:name w:val="[Basic Paragraph]"/>
    <w:basedOn w:val="Normal"/>
    <w:uiPriority w:val="99"/>
    <w:rsid w:val="00E66514"/>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8E16D0"/>
    <w:pPr>
      <w:ind w:left="720"/>
      <w:contextualSpacing/>
    </w:pPr>
  </w:style>
  <w:style w:type="table" w:styleId="GridTable4-Accent6">
    <w:name w:val="Grid Table 4 Accent 6"/>
    <w:aliases w:val="PeC TS Table"/>
    <w:basedOn w:val="TableNormal"/>
    <w:uiPriority w:val="49"/>
    <w:rsid w:val="002D1A10"/>
    <w:pPr>
      <w:contextualSpacing/>
    </w:pPr>
    <w:rPr>
      <w:rFonts w:cstheme="minorBid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wordWrap/>
        <w:spacing w:beforeLines="0" w:before="0" w:beforeAutospacing="0" w:afterLines="0" w:after="0" w:afterAutospacing="0" w:line="240" w:lineRule="auto"/>
        <w:contextualSpacing/>
        <w:jc w:val="center"/>
      </w:pPr>
      <w:rPr>
        <w:b/>
        <w:bCs/>
        <w:color w:val="FFFFFF" w:themeColor="background1"/>
      </w:rPr>
      <w:tblPr/>
      <w:tcPr>
        <w:shd w:val="clear" w:color="auto" w:fill="359593" w:themeFill="text2" w:themeFillShade="80"/>
      </w:tcPr>
    </w:tblStylePr>
    <w:tblStylePr w:type="lastRow">
      <w:rPr>
        <w:b/>
        <w:bCs/>
      </w:rPr>
      <w:tblPr/>
      <w:tcPr>
        <w:tcBorders>
          <w:top w:val="double" w:sz="4" w:space="0" w:color="359593" w:themeColor="text2" w:themeShade="80"/>
        </w:tcBorders>
      </w:tcPr>
    </w:tblStylePr>
    <w:tblStylePr w:type="firstCol">
      <w:rPr>
        <w:b/>
        <w:bCs/>
      </w:rPr>
    </w:tblStylePr>
    <w:tblStylePr w:type="lastCol">
      <w:rPr>
        <w:b/>
        <w:bCs/>
      </w:rPr>
    </w:tblStylePr>
    <w:tblStylePr w:type="band1Horz">
      <w:tblPr/>
      <w:tcPr>
        <w:shd w:val="clear" w:color="auto" w:fill="EFF9F9" w:themeFill="text2" w:themeFillTint="33"/>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style>
  <w:style w:type="character" w:styleId="Hyperlink">
    <w:name w:val="Hyperlink"/>
    <w:basedOn w:val="DefaultParagraphFont"/>
    <w:uiPriority w:val="99"/>
    <w:unhideWhenUsed/>
    <w:rsid w:val="00E70174"/>
    <w:rPr>
      <w:color w:val="0077CA" w:themeColor="hyperlink"/>
      <w:u w:val="single"/>
    </w:rPr>
  </w:style>
  <w:style w:type="character" w:styleId="UnresolvedMention">
    <w:name w:val="Unresolved Mention"/>
    <w:basedOn w:val="DefaultParagraphFont"/>
    <w:uiPriority w:val="99"/>
    <w:semiHidden/>
    <w:unhideWhenUsed/>
    <w:rsid w:val="00E70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8918">
      <w:bodyDiv w:val="1"/>
      <w:marLeft w:val="0"/>
      <w:marRight w:val="0"/>
      <w:marTop w:val="0"/>
      <w:marBottom w:val="0"/>
      <w:divBdr>
        <w:top w:val="none" w:sz="0" w:space="0" w:color="auto"/>
        <w:left w:val="none" w:sz="0" w:space="0" w:color="auto"/>
        <w:bottom w:val="none" w:sz="0" w:space="0" w:color="auto"/>
        <w:right w:val="none" w:sz="0" w:space="0" w:color="auto"/>
      </w:divBdr>
    </w:div>
    <w:div w:id="1251281782">
      <w:bodyDiv w:val="1"/>
      <w:marLeft w:val="0"/>
      <w:marRight w:val="0"/>
      <w:marTop w:val="0"/>
      <w:marBottom w:val="0"/>
      <w:divBdr>
        <w:top w:val="none" w:sz="0" w:space="0" w:color="auto"/>
        <w:left w:val="none" w:sz="0" w:space="0" w:color="auto"/>
        <w:bottom w:val="none" w:sz="0" w:space="0" w:color="auto"/>
        <w:right w:val="none" w:sz="0" w:space="0" w:color="auto"/>
      </w:divBdr>
    </w:div>
    <w:div w:id="1465154840">
      <w:bodyDiv w:val="1"/>
      <w:marLeft w:val="0"/>
      <w:marRight w:val="0"/>
      <w:marTop w:val="0"/>
      <w:marBottom w:val="0"/>
      <w:divBdr>
        <w:top w:val="none" w:sz="0" w:space="0" w:color="auto"/>
        <w:left w:val="none" w:sz="0" w:space="0" w:color="auto"/>
        <w:bottom w:val="none" w:sz="0" w:space="0" w:color="auto"/>
        <w:right w:val="none" w:sz="0" w:space="0" w:color="auto"/>
      </w:divBdr>
    </w:div>
    <w:div w:id="1490559400">
      <w:bodyDiv w:val="1"/>
      <w:marLeft w:val="0"/>
      <w:marRight w:val="0"/>
      <w:marTop w:val="0"/>
      <w:marBottom w:val="0"/>
      <w:divBdr>
        <w:top w:val="none" w:sz="0" w:space="0" w:color="auto"/>
        <w:left w:val="none" w:sz="0" w:space="0" w:color="auto"/>
        <w:bottom w:val="none" w:sz="0" w:space="0" w:color="auto"/>
        <w:right w:val="none" w:sz="0" w:space="0" w:color="auto"/>
      </w:divBdr>
    </w:div>
    <w:div w:id="16760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1.png@01D9631C.1F4C2BA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Lapierre@wdhospital.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q955\Downloads\WDH%20Word%20Template%20(1).dotx" TargetMode="External"/></Relationships>
</file>

<file path=word/theme/theme1.xml><?xml version="1.0" encoding="utf-8"?>
<a:theme xmlns:a="http://schemas.openxmlformats.org/drawingml/2006/main" name="Office Theme">
  <a:themeElements>
    <a:clrScheme name="MGB_colors">
      <a:dk1>
        <a:srgbClr val="000000"/>
      </a:dk1>
      <a:lt1>
        <a:srgbClr val="FFFFFF"/>
      </a:lt1>
      <a:dk2>
        <a:srgbClr val="B0E3E2"/>
      </a:dk2>
      <a:lt2>
        <a:srgbClr val="808080"/>
      </a:lt2>
      <a:accent1>
        <a:srgbClr val="009AA3"/>
      </a:accent1>
      <a:accent2>
        <a:srgbClr val="003A93"/>
      </a:accent2>
      <a:accent3>
        <a:srgbClr val="0077CA"/>
      </a:accent3>
      <a:accent4>
        <a:srgbClr val="CD7F00"/>
      </a:accent4>
      <a:accent5>
        <a:srgbClr val="5C068A"/>
      </a:accent5>
      <a:accent6>
        <a:srgbClr val="CC0037"/>
      </a:accent6>
      <a:hlink>
        <a:srgbClr val="0077CA"/>
      </a:hlink>
      <a:folHlink>
        <a:srgbClr val="5C068A"/>
      </a:folHlink>
    </a:clrScheme>
    <a:fontScheme name="MGB">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12B920271704B96B359B2603A7E66" ma:contentTypeVersion="15" ma:contentTypeDescription="Create a new document." ma:contentTypeScope="" ma:versionID="be3a94bc62ee52ccdd4f5ad90609ebd0">
  <xsd:schema xmlns:xsd="http://www.w3.org/2001/XMLSchema" xmlns:xs="http://www.w3.org/2001/XMLSchema" xmlns:p="http://schemas.microsoft.com/office/2006/metadata/properties" xmlns:ns2="c507ec90-378e-4b79-bc9c-17be9adc2c2c" xmlns:ns3="27a869f5-29a5-41d5-82f8-21e470b7d999" xmlns:ns4="d1680238-2266-4ab1-9ebd-8eb4f05a8cbc" targetNamespace="http://schemas.microsoft.com/office/2006/metadata/properties" ma:root="true" ma:fieldsID="45745f85d138d2206b16a683cbb6800d" ns2:_="" ns3:_="" ns4:_="">
    <xsd:import namespace="c507ec90-378e-4b79-bc9c-17be9adc2c2c"/>
    <xsd:import namespace="27a869f5-29a5-41d5-82f8-21e470b7d999"/>
    <xsd:import namespace="d1680238-2266-4ab1-9ebd-8eb4f05a8c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7ec90-378e-4b79-bc9c-17be9adc2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0c9a04-0a06-4c47-89e2-9dbcedd85f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869f5-29a5-41d5-82f8-21e470b7d9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680238-2266-4ab1-9ebd-8eb4f05a8cb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a7cdaa5-df84-489d-be4e-402e71e0c446}" ma:internalName="TaxCatchAll" ma:showField="CatchAllData" ma:web="27a869f5-29a5-41d5-82f8-21e470b7d9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B15F9-04BA-4338-B9AF-A13EF30A7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7ec90-378e-4b79-bc9c-17be9adc2c2c"/>
    <ds:schemaRef ds:uri="27a869f5-29a5-41d5-82f8-21e470b7d999"/>
    <ds:schemaRef ds:uri="d1680238-2266-4ab1-9ebd-8eb4f05a8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FD61E1-6450-4303-BB70-6730E0390B7F}">
  <ds:schemaRefs>
    <ds:schemaRef ds:uri="http://schemas.microsoft.com/sharepoint/v3/contenttype/forms"/>
  </ds:schemaRefs>
</ds:datastoreItem>
</file>

<file path=customXml/itemProps3.xml><?xml version="1.0" encoding="utf-8"?>
<ds:datastoreItem xmlns:ds="http://schemas.openxmlformats.org/officeDocument/2006/customXml" ds:itemID="{EBF95230-6C60-4A40-A203-5757497A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WDH Word Template (1)</Template>
  <TotalTime>373</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Merchant, Samantha</dc:creator>
  <cp:keywords/>
  <dc:description/>
  <cp:lastModifiedBy>Maganti, Srinivas</cp:lastModifiedBy>
  <cp:revision>9</cp:revision>
  <cp:lastPrinted>2023-04-03T18:27:00Z</cp:lastPrinted>
  <dcterms:created xsi:type="dcterms:W3CDTF">2023-04-03T12:26:00Z</dcterms:created>
  <dcterms:modified xsi:type="dcterms:W3CDTF">2023-04-03T18:44:00Z</dcterms:modified>
</cp:coreProperties>
</file>